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5E2" w:rsidRDefault="00123487" w:rsidP="0029471D">
      <w:pPr>
        <w:ind w:right="-718"/>
      </w:pPr>
      <w:bookmarkStart w:id="0" w:name="_GoBack"/>
      <w:bookmarkEnd w:id="0"/>
      <w:r>
        <w:rPr>
          <w:noProof/>
          <w:lang w:val="fr-BE" w:eastAsia="fr-BE"/>
        </w:rPr>
        <w:drawing>
          <wp:anchor distT="0" distB="0" distL="114300" distR="114300" simplePos="0" relativeHeight="251668480" behindDoc="1" locked="0" layoutInCell="1" allowOverlap="1">
            <wp:simplePos x="0" y="0"/>
            <wp:positionH relativeFrom="column">
              <wp:posOffset>5220970</wp:posOffset>
            </wp:positionH>
            <wp:positionV relativeFrom="paragraph">
              <wp:posOffset>-151130</wp:posOffset>
            </wp:positionV>
            <wp:extent cx="2400300" cy="3762375"/>
            <wp:effectExtent l="0" t="0" r="0" b="0"/>
            <wp:wrapTight wrapText="bothSides">
              <wp:wrapPolygon edited="0">
                <wp:start x="9943" y="0"/>
                <wp:lineTo x="7714" y="766"/>
                <wp:lineTo x="5657" y="1641"/>
                <wp:lineTo x="3257" y="3500"/>
                <wp:lineTo x="1543" y="5250"/>
                <wp:lineTo x="686" y="6999"/>
                <wp:lineTo x="171" y="8749"/>
                <wp:lineTo x="171" y="10499"/>
                <wp:lineTo x="857" y="12249"/>
                <wp:lineTo x="1714" y="13999"/>
                <wp:lineTo x="3257" y="15749"/>
                <wp:lineTo x="5829" y="17499"/>
                <wp:lineTo x="10286" y="19249"/>
                <wp:lineTo x="13371" y="19795"/>
                <wp:lineTo x="13714" y="20014"/>
                <wp:lineTo x="18857" y="20014"/>
                <wp:lineTo x="21429" y="19686"/>
                <wp:lineTo x="21429" y="0"/>
                <wp:lineTo x="9943" y="0"/>
              </wp:wrapPolygon>
            </wp:wrapTight>
            <wp:docPr id="5527" name="Picture 5527" descr="Défense-A4-96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7" descr="Défense-A4-96DPI"/>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35" t="10835" r="40810"/>
                    <a:stretch>
                      <a:fillRect/>
                    </a:stretch>
                  </pic:blipFill>
                  <pic:spPr bwMode="auto">
                    <a:xfrm>
                      <a:off x="0" y="0"/>
                      <a:ext cx="2400300" cy="3762375"/>
                    </a:xfrm>
                    <a:prstGeom prst="rect">
                      <a:avLst/>
                    </a:prstGeom>
                    <a:noFill/>
                  </pic:spPr>
                </pic:pic>
              </a:graphicData>
            </a:graphic>
          </wp:anchor>
        </w:drawing>
      </w:r>
      <w:r w:rsidR="00603254" w:rsidRPr="00603254">
        <w:rPr>
          <w:noProof/>
        </w:rPr>
        <w:pict>
          <v:shapetype id="_x0000_t202" coordsize="21600,21600" o:spt="202" path="m,l,21600r21600,l21600,xe">
            <v:stroke joinstyle="miter"/>
            <v:path gradientshapeok="t" o:connecttype="rect"/>
          </v:shapetype>
          <v:shape id="Text Box 5101" o:spid="_x0000_s1026" type="#_x0000_t202" style="position:absolute;margin-left:-9pt;margin-top:-9pt;width:73.1pt;height:101.8pt;z-index:251604992;visibility:visible;mso-wrap-style:non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" filled="f" fillcolor="#ff5050" stroked="f" strokeweight="0" insetpen="t">
            <v:fill opacity="26214f"/>
            <v:textbox style="mso-fit-shape-to-text:t" inset="2.88pt,2.88pt,2.88pt,2.88pt">
              <w:txbxContent>
                <w:p w:rsidR="00B4237A" w:rsidRDefault="00B4237A" w:rsidP="00B25DA9">
                  <w:pPr>
                    <w:ind w:left="-180"/>
                  </w:pPr>
                  <w:r>
                    <w:rPr>
                      <w:noProof/>
                      <w:lang w:val="fr-BE" w:eastAsia="fr-BE"/>
                    </w:rPr>
                    <w:drawing>
                      <wp:inline distT="0" distB="0" distL="0" distR="0">
                        <wp:extent cx="853440" cy="1219200"/>
                        <wp:effectExtent l="0" t="0" r="0" b="0"/>
                        <wp:docPr id="2" name="Picture 2" descr="IRSD_logo_photoshop_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SD_logo_photoshop_tiff"/>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440" cy="1219200"/>
                                </a:xfrm>
                                <a:prstGeom prst="rect">
                                  <a:avLst/>
                                </a:prstGeom>
                                <a:noFill/>
                                <a:ln>
                                  <a:noFill/>
                                </a:ln>
                              </pic:spPr>
                            </pic:pic>
                          </a:graphicData>
                        </a:graphic>
                      </wp:inline>
                    </w:drawing>
                  </w:r>
                </w:p>
              </w:txbxContent>
            </v:textbox>
          </v:shape>
        </w:pict>
      </w:r>
    </w:p>
    <w:p w:rsidR="00AB506E" w:rsidRDefault="00AB506E"/>
    <w:p w:rsidR="00462D3E" w:rsidRPr="003807BA" w:rsidRDefault="00462D3E" w:rsidP="00462D3E">
      <w:pPr>
        <w:rPr>
          <w:lang w:val="nl-BE"/>
        </w:rPr>
      </w:pPr>
    </w:p>
    <w:p w:rsidR="00462D3E" w:rsidRPr="003807BA" w:rsidRDefault="00462D3E" w:rsidP="00462D3E">
      <w:pPr>
        <w:rPr>
          <w:lang w:val="nl-BE"/>
        </w:rPr>
      </w:pPr>
    </w:p>
    <w:p w:rsidR="00462D3E" w:rsidRPr="003807BA" w:rsidRDefault="00462D3E" w:rsidP="00462D3E">
      <w:pPr>
        <w:rPr>
          <w:lang w:val="nl-BE"/>
        </w:rPr>
      </w:pPr>
    </w:p>
    <w:p w:rsidR="00462D3E" w:rsidRPr="003807BA" w:rsidRDefault="00462D3E" w:rsidP="00462D3E">
      <w:pPr>
        <w:rPr>
          <w:lang w:val="nl-BE"/>
        </w:rPr>
      </w:pPr>
    </w:p>
    <w:p w:rsidR="00462D3E" w:rsidRPr="003807BA" w:rsidRDefault="00462D3E" w:rsidP="00462D3E">
      <w:pPr>
        <w:rPr>
          <w:lang w:val="nl-BE"/>
        </w:rPr>
      </w:pPr>
    </w:p>
    <w:p w:rsidR="00462D3E" w:rsidRPr="003807BA" w:rsidRDefault="00462D3E" w:rsidP="00462D3E">
      <w:pPr>
        <w:rPr>
          <w:lang w:val="nl-BE"/>
        </w:rPr>
      </w:pPr>
    </w:p>
    <w:p w:rsidR="00462D3E" w:rsidRPr="003807BA" w:rsidRDefault="00462D3E" w:rsidP="00462D3E">
      <w:pPr>
        <w:rPr>
          <w:lang w:val="nl-BE"/>
        </w:rPr>
      </w:pPr>
    </w:p>
    <w:p w:rsidR="00462D3E" w:rsidRPr="003807BA" w:rsidRDefault="00462D3E" w:rsidP="00462D3E">
      <w:pPr>
        <w:rPr>
          <w:lang w:val="nl-BE"/>
        </w:rPr>
      </w:pPr>
    </w:p>
    <w:p w:rsidR="00AB65E2" w:rsidRPr="003807BA" w:rsidRDefault="00603254">
      <w:pPr>
        <w:rPr>
          <w:lang w:val="nl-BE"/>
        </w:rPr>
      </w:pPr>
      <w:r w:rsidRPr="00603254">
        <w:rPr>
          <w:noProof/>
        </w:rPr>
        <w:pict>
          <v:shape id="Text Box 5530" o:spid="_x0000_s1027" type="#_x0000_t202" style="position:absolute;margin-left:-9pt;margin-top:2pt;width:351pt;height:6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A6vg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" filled="f" stroked="f">
            <v:textbox>
              <w:txbxContent>
                <w:p w:rsidR="00B4237A" w:rsidRPr="009C0E45" w:rsidRDefault="00B4237A" w:rsidP="00887250">
                  <w:pPr>
                    <w:rPr>
                      <w:rFonts w:ascii="Eras Light ITC" w:hAnsi="Eras Light ITC" w:cs="Arial"/>
                      <w:b/>
                      <w:color w:val="808080"/>
                      <w:sz w:val="36"/>
                      <w:szCs w:val="36"/>
                      <w:lang w:val="fr-BE"/>
                    </w:rPr>
                  </w:pPr>
                  <w:r w:rsidRPr="009C0E45">
                    <w:rPr>
                      <w:rFonts w:ascii="Eras Light ITC" w:hAnsi="Eras Light ITC" w:cs="Arial"/>
                      <w:b/>
                      <w:color w:val="808080"/>
                      <w:sz w:val="36"/>
                      <w:szCs w:val="36"/>
                      <w:lang w:val="fr-BE"/>
                    </w:rPr>
                    <w:t>Institut royal supérieur de défense</w:t>
                  </w:r>
                </w:p>
                <w:p w:rsidR="00B4237A" w:rsidRPr="009C0E45" w:rsidRDefault="00B4237A" w:rsidP="00887250">
                  <w:pPr>
                    <w:rPr>
                      <w:rFonts w:ascii="Eras Light ITC" w:hAnsi="Eras Light ITC" w:cs="Arial"/>
                      <w:b/>
                      <w:color w:val="808080"/>
                      <w:sz w:val="36"/>
                      <w:szCs w:val="36"/>
                      <w:lang w:val="fr-BE"/>
                    </w:rPr>
                  </w:pPr>
                  <w:r w:rsidRPr="009C0E45">
                    <w:rPr>
                      <w:rFonts w:ascii="Eras Light ITC" w:hAnsi="Eras Light ITC" w:cs="Arial"/>
                      <w:b/>
                      <w:color w:val="808080"/>
                      <w:sz w:val="36"/>
                      <w:szCs w:val="36"/>
                      <w:lang w:val="fr-BE"/>
                    </w:rPr>
                    <w:t>Centre d’études de sécurité et défense</w:t>
                  </w:r>
                </w:p>
              </w:txbxContent>
            </v:textbox>
          </v:shape>
        </w:pict>
      </w:r>
    </w:p>
    <w:p w:rsidR="00AB65E2" w:rsidRPr="003807BA" w:rsidRDefault="00AB65E2">
      <w:pPr>
        <w:rPr>
          <w:lang w:val="nl-BE"/>
        </w:rPr>
      </w:pPr>
    </w:p>
    <w:p w:rsidR="00AB65E2" w:rsidRPr="003807BA" w:rsidRDefault="00AB65E2">
      <w:pPr>
        <w:rPr>
          <w:lang w:val="nl-BE"/>
        </w:rPr>
      </w:pPr>
    </w:p>
    <w:p w:rsidR="00AB65E2" w:rsidRPr="003807BA" w:rsidRDefault="00AB65E2">
      <w:pPr>
        <w:rPr>
          <w:lang w:val="nl-BE"/>
        </w:rPr>
      </w:pPr>
    </w:p>
    <w:p w:rsidR="00AB65E2" w:rsidRPr="003807BA" w:rsidRDefault="00AB65E2">
      <w:pPr>
        <w:rPr>
          <w:lang w:val="nl-BE"/>
        </w:rPr>
      </w:pPr>
    </w:p>
    <w:p w:rsidR="00AB65E2" w:rsidRPr="003807BA" w:rsidRDefault="00603254">
      <w:pPr>
        <w:rPr>
          <w:lang w:val="nl-BE"/>
        </w:rPr>
      </w:pPr>
      <w:r w:rsidRPr="00603254">
        <w:rPr>
          <w:noProof/>
        </w:rPr>
        <w:pict>
          <v:rect id="Rectangle 5528" o:spid="_x0000_s1049" style="position:absolute;margin-left:-20.8pt;margin-top:9.9pt;width:535pt;height:158.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" fillcolor="#333" strokecolor="gray"/>
        </w:pict>
      </w:r>
    </w:p>
    <w:p w:rsidR="00AB65E2" w:rsidRPr="003807BA" w:rsidRDefault="00603254">
      <w:pPr>
        <w:rPr>
          <w:lang w:val="nl-BE"/>
        </w:rPr>
      </w:pPr>
      <w:r w:rsidRPr="00603254">
        <w:rPr>
          <w:noProof/>
        </w:rPr>
        <w:pict>
          <v:shape id="Text Box 5529" o:spid="_x0000_s1028" type="#_x0000_t202" style="position:absolute;margin-left:-15pt;margin-top:5pt;width:530.5pt;height:14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KwAIAAMc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" filled="f" stroked="f">
            <v:textbox>
              <w:txbxContent>
                <w:p w:rsidR="00B4237A" w:rsidRPr="00D723FB" w:rsidRDefault="00B4237A" w:rsidP="00D723FB">
                  <w:pPr>
                    <w:jc w:val="both"/>
                    <w:rPr>
                      <w:rFonts w:asciiTheme="minorHAnsi" w:hAnsiTheme="minorHAnsi" w:cstheme="minorHAnsi"/>
                      <w:color w:val="FFFFFF" w:themeColor="background1"/>
                      <w:sz w:val="52"/>
                      <w:szCs w:val="96"/>
                      <w:lang w:val="fr-FR"/>
                    </w:rPr>
                  </w:pPr>
                  <w:r w:rsidRPr="00D723FB">
                    <w:rPr>
                      <w:rFonts w:asciiTheme="minorHAnsi" w:hAnsiTheme="minorHAnsi" w:cstheme="minorHAnsi"/>
                      <w:color w:val="FFFFFF" w:themeColor="background1"/>
                      <w:sz w:val="52"/>
                      <w:szCs w:val="96"/>
                      <w:lang w:val="fr-FR"/>
                    </w:rPr>
                    <w:t>Livre blanc français de la défense 2013 : lignes de forces autour de la sécurité-défense européenne</w:t>
                  </w:r>
                </w:p>
                <w:p w:rsidR="00B4237A" w:rsidRPr="00D723FB" w:rsidRDefault="00B4237A" w:rsidP="00D723FB">
                  <w:pPr>
                    <w:spacing w:before="240"/>
                    <w:rPr>
                      <w:rFonts w:asciiTheme="minorHAnsi" w:hAnsiTheme="minorHAnsi" w:cstheme="minorHAnsi"/>
                      <w:b/>
                      <w:color w:val="FFFFFF" w:themeColor="background1"/>
                      <w:sz w:val="48"/>
                      <w:szCs w:val="48"/>
                      <w:lang w:val="fr-BE"/>
                    </w:rPr>
                  </w:pPr>
                  <w:r w:rsidRPr="00D723FB">
                    <w:rPr>
                      <w:rFonts w:asciiTheme="minorHAnsi" w:hAnsiTheme="minorHAnsi" w:cstheme="minorHAnsi"/>
                      <w:color w:val="FFFFFF" w:themeColor="background1"/>
                      <w:sz w:val="48"/>
                      <w:szCs w:val="48"/>
                      <w:lang w:val="fr-FR"/>
                    </w:rPr>
                    <w:t>André Dumoulin</w:t>
                  </w:r>
                </w:p>
              </w:txbxContent>
            </v:textbox>
          </v:shape>
        </w:pict>
      </w:r>
    </w:p>
    <w:p w:rsidR="00AB65E2" w:rsidRPr="003807BA" w:rsidRDefault="00AB65E2">
      <w:pPr>
        <w:rPr>
          <w:lang w:val="nl-BE"/>
        </w:rPr>
      </w:pPr>
    </w:p>
    <w:p w:rsidR="00AB65E2" w:rsidRPr="003807BA" w:rsidRDefault="00AB65E2">
      <w:pPr>
        <w:rPr>
          <w:lang w:val="nl-BE"/>
        </w:rPr>
      </w:pPr>
    </w:p>
    <w:p w:rsidR="00AB65E2" w:rsidRPr="003807BA" w:rsidRDefault="00AB65E2">
      <w:pPr>
        <w:rPr>
          <w:lang w:val="nl-BE"/>
        </w:rPr>
      </w:pPr>
    </w:p>
    <w:p w:rsidR="00AB65E2" w:rsidRPr="003807BA" w:rsidRDefault="00AB65E2">
      <w:pPr>
        <w:rPr>
          <w:lang w:val="nl-BE"/>
        </w:rPr>
      </w:pPr>
    </w:p>
    <w:p w:rsidR="00C83C67" w:rsidRPr="003807BA" w:rsidRDefault="00C83C67">
      <w:pPr>
        <w:rPr>
          <w:lang w:val="nl-BE"/>
        </w:rPr>
      </w:pPr>
    </w:p>
    <w:p w:rsidR="00C83C67" w:rsidRPr="00ED2F9D" w:rsidRDefault="00C83C67">
      <w:pPr>
        <w:rPr>
          <w:lang w:val="fr-FR"/>
        </w:rPr>
      </w:pPr>
    </w:p>
    <w:p w:rsidR="00C83C67" w:rsidRPr="00ED2F9D" w:rsidRDefault="00C83C67">
      <w:pPr>
        <w:rPr>
          <w:lang w:val="fr-FR"/>
        </w:rPr>
      </w:pPr>
    </w:p>
    <w:p w:rsidR="00C83C67" w:rsidRPr="00ED2F9D" w:rsidRDefault="00C83C67">
      <w:pPr>
        <w:rPr>
          <w:lang w:val="fr-FR"/>
        </w:rPr>
      </w:pPr>
    </w:p>
    <w:p w:rsidR="00C83C67" w:rsidRPr="00ED2F9D" w:rsidRDefault="00C83C67">
      <w:pPr>
        <w:rPr>
          <w:lang w:val="fr-FR"/>
        </w:rPr>
      </w:pPr>
    </w:p>
    <w:p w:rsidR="00C83C67" w:rsidRPr="00ED2F9D" w:rsidRDefault="00C83C67">
      <w:pPr>
        <w:rPr>
          <w:lang w:val="fr-FR"/>
        </w:rPr>
      </w:pPr>
    </w:p>
    <w:p w:rsidR="00C83C67" w:rsidRPr="00ED2F9D" w:rsidRDefault="00603254">
      <w:pPr>
        <w:rPr>
          <w:lang w:val="fr-FR"/>
        </w:rPr>
      </w:pPr>
      <w:r w:rsidRPr="00603254">
        <w:rPr>
          <w:noProof/>
        </w:rPr>
        <w:pict>
          <v:shape id="Text Box 5525" o:spid="_x0000_s1029" type="#_x0000_t202" style="position:absolute;margin-left:236.15pt;margin-top:342.8pt;width:288.35pt;height:6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" fillcolor="gray" stroked="f">
            <v:textbox>
              <w:txbxContent>
                <w:p w:rsidR="00B4237A" w:rsidRDefault="00B4237A" w:rsidP="002E3D30">
                  <w:pPr>
                    <w:jc w:val="center"/>
                    <w:rPr>
                      <w:rFonts w:ascii="Eras Light ITC" w:hAnsi="Eras Light ITC"/>
                      <w:b/>
                      <w:caps/>
                      <w:color w:val="FFFFFF"/>
                      <w:sz w:val="32"/>
                      <w:szCs w:val="32"/>
                      <w:lang w:val="nl-BE"/>
                    </w:rPr>
                  </w:pPr>
                  <w:r>
                    <w:rPr>
                      <w:rFonts w:ascii="Eras Light ITC" w:hAnsi="Eras Light ITC"/>
                      <w:b/>
                      <w:caps/>
                      <w:color w:val="FFFFFF"/>
                      <w:sz w:val="32"/>
                      <w:szCs w:val="32"/>
                      <w:lang w:val="nl-BE"/>
                    </w:rPr>
                    <w:t xml:space="preserve">FOCUS </w:t>
                  </w:r>
                  <w:proofErr w:type="gramStart"/>
                  <w:r>
                    <w:rPr>
                      <w:rFonts w:ascii="Eras Light ITC" w:hAnsi="Eras Light ITC"/>
                      <w:b/>
                      <w:caps/>
                      <w:color w:val="FFFFFF"/>
                      <w:sz w:val="32"/>
                      <w:szCs w:val="32"/>
                      <w:lang w:val="nl-BE"/>
                    </w:rPr>
                    <w:t>PAPER</w:t>
                  </w:r>
                  <w:proofErr w:type="gramEnd"/>
                  <w:r>
                    <w:rPr>
                      <w:rFonts w:ascii="Eras Light ITC" w:hAnsi="Eras Light ITC"/>
                      <w:b/>
                      <w:caps/>
                      <w:color w:val="FFFFFF"/>
                      <w:sz w:val="32"/>
                      <w:szCs w:val="32"/>
                      <w:lang w:val="nl-BE"/>
                    </w:rPr>
                    <w:t xml:space="preserve"> 29</w:t>
                  </w:r>
                </w:p>
                <w:p w:rsidR="00B4237A" w:rsidRDefault="000449D5" w:rsidP="002E3D30">
                  <w:pPr>
                    <w:jc w:val="center"/>
                    <w:rPr>
                      <w:rFonts w:ascii="Eras Light ITC" w:hAnsi="Eras Light ITC"/>
                      <w:b/>
                      <w:color w:val="FFFFFF"/>
                      <w:sz w:val="32"/>
                      <w:szCs w:val="32"/>
                    </w:rPr>
                  </w:pPr>
                  <w:proofErr w:type="spellStart"/>
                  <w:r>
                    <w:rPr>
                      <w:rFonts w:ascii="Eras Light ITC" w:hAnsi="Eras Light ITC"/>
                      <w:b/>
                      <w:color w:val="FFFFFF"/>
                      <w:sz w:val="32"/>
                      <w:szCs w:val="32"/>
                    </w:rPr>
                    <w:t>Décembre</w:t>
                  </w:r>
                  <w:proofErr w:type="spellEnd"/>
                  <w:r w:rsidR="00B4237A">
                    <w:rPr>
                      <w:rFonts w:ascii="Eras Light ITC" w:hAnsi="Eras Light ITC"/>
                      <w:b/>
                      <w:color w:val="FFFFFF"/>
                      <w:sz w:val="32"/>
                      <w:szCs w:val="32"/>
                    </w:rPr>
                    <w:t xml:space="preserve"> 2013</w:t>
                  </w:r>
                </w:p>
              </w:txbxContent>
            </v:textbox>
          </v:shape>
        </w:pict>
      </w:r>
    </w:p>
    <w:p w:rsidR="00C83C67" w:rsidRPr="00ED2F9D" w:rsidRDefault="00C83C67">
      <w:pPr>
        <w:rPr>
          <w:lang w:val="fr-FR"/>
        </w:rPr>
      </w:pPr>
    </w:p>
    <w:p w:rsidR="00C83C67" w:rsidRPr="00ED2F9D" w:rsidRDefault="00C3717A">
      <w:pPr>
        <w:rPr>
          <w:lang w:val="fr-FR"/>
        </w:rPr>
      </w:pPr>
      <w:r>
        <w:rPr>
          <w:noProof/>
          <w:lang w:val="fr-BE" w:eastAsia="fr-BE"/>
        </w:rPr>
        <w:drawing>
          <wp:anchor distT="0" distB="0" distL="114300" distR="114300" simplePos="0" relativeHeight="251603967" behindDoc="0" locked="0" layoutInCell="1" allowOverlap="1">
            <wp:simplePos x="0" y="0"/>
            <wp:positionH relativeFrom="margin">
              <wp:posOffset>372745</wp:posOffset>
            </wp:positionH>
            <wp:positionV relativeFrom="margin">
              <wp:posOffset>4250055</wp:posOffset>
            </wp:positionV>
            <wp:extent cx="6124575" cy="4072255"/>
            <wp:effectExtent l="0" t="0" r="9525" b="4445"/>
            <wp:wrapSquare wrapText="bothSides"/>
            <wp:docPr id="5958" name="Picture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descr="Projet-Montage-Synergi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4575" cy="4072255"/>
                    </a:xfrm>
                    <a:prstGeom prst="rect">
                      <a:avLst/>
                    </a:prstGeom>
                    <a:noFill/>
                  </pic:spPr>
                </pic:pic>
              </a:graphicData>
            </a:graphic>
          </wp:anchor>
        </w:drawing>
      </w:r>
    </w:p>
    <w:p w:rsidR="00AB65E2" w:rsidRPr="00ED2F9D" w:rsidRDefault="00AB65E2">
      <w:pPr>
        <w:rPr>
          <w:lang w:val="fr-FR"/>
        </w:rPr>
      </w:pPr>
    </w:p>
    <w:p w:rsidR="00AB65E2" w:rsidRPr="00ED2F9D" w:rsidRDefault="00AB65E2">
      <w:pPr>
        <w:rPr>
          <w:lang w:val="fr-FR"/>
        </w:rPr>
      </w:pPr>
    </w:p>
    <w:p w:rsidR="00AB65E2" w:rsidRPr="00ED2F9D" w:rsidRDefault="00AB65E2">
      <w:pPr>
        <w:rPr>
          <w:lang w:val="fr-FR"/>
        </w:rPr>
      </w:pPr>
    </w:p>
    <w:p w:rsidR="00AB65E2" w:rsidRPr="00ED2F9D" w:rsidRDefault="00AB65E2">
      <w:pPr>
        <w:rPr>
          <w:lang w:val="fr-FR"/>
        </w:rPr>
      </w:pPr>
    </w:p>
    <w:p w:rsidR="00AB65E2" w:rsidRPr="00ED2F9D" w:rsidRDefault="00AB65E2">
      <w:pPr>
        <w:rPr>
          <w:lang w:val="fr-FR"/>
        </w:rPr>
      </w:pPr>
    </w:p>
    <w:p w:rsidR="00AB65E2" w:rsidRPr="00ED2F9D" w:rsidRDefault="00AB65E2">
      <w:pPr>
        <w:rPr>
          <w:lang w:val="fr-FR"/>
        </w:rPr>
      </w:pPr>
    </w:p>
    <w:p w:rsidR="00AB65E2" w:rsidRPr="00ED2F9D" w:rsidRDefault="00AB65E2">
      <w:pPr>
        <w:rPr>
          <w:lang w:val="fr-FR"/>
        </w:rPr>
      </w:pPr>
    </w:p>
    <w:p w:rsidR="00AB65E2" w:rsidRDefault="00AB65E2">
      <w:pPr>
        <w:rPr>
          <w:lang w:val="fr-FR"/>
        </w:rPr>
      </w:pPr>
    </w:p>
    <w:p w:rsidR="009E60EB" w:rsidRDefault="009E60EB">
      <w:pPr>
        <w:rPr>
          <w:lang w:val="fr-FR"/>
        </w:rPr>
      </w:pPr>
    </w:p>
    <w:p w:rsidR="009E60EB" w:rsidRDefault="009E60EB">
      <w:pPr>
        <w:rPr>
          <w:lang w:val="fr-FR"/>
        </w:rPr>
      </w:pPr>
    </w:p>
    <w:p w:rsidR="00D224A7" w:rsidRDefault="00D224A7">
      <w:pPr>
        <w:rPr>
          <w:lang w:val="fr-FR"/>
        </w:rPr>
      </w:pPr>
    </w:p>
    <w:p w:rsidR="00D224A7" w:rsidRDefault="00D224A7">
      <w:pPr>
        <w:rPr>
          <w:lang w:val="fr-FR"/>
        </w:rPr>
      </w:pPr>
    </w:p>
    <w:p w:rsidR="00D224A7" w:rsidRDefault="00D224A7">
      <w:pPr>
        <w:rPr>
          <w:lang w:val="fr-FR"/>
        </w:rPr>
      </w:pPr>
    </w:p>
    <w:p w:rsidR="00D224A7" w:rsidRDefault="00D224A7">
      <w:pPr>
        <w:rPr>
          <w:lang w:val="fr-FR"/>
        </w:rPr>
      </w:pPr>
    </w:p>
    <w:p w:rsidR="009E60EB" w:rsidRPr="00ED2F9D" w:rsidRDefault="009E60EB">
      <w:pPr>
        <w:rPr>
          <w:lang w:val="fr-FR"/>
        </w:rPr>
      </w:pPr>
    </w:p>
    <w:p w:rsidR="00AB65E2" w:rsidRPr="009E60EB" w:rsidRDefault="00AB65E2"/>
    <w:p w:rsidR="009E60EB" w:rsidRPr="009E60EB" w:rsidRDefault="009E60EB"/>
    <w:p w:rsidR="00462D3E" w:rsidRDefault="009E60EB" w:rsidP="00462D3E">
      <w:pPr>
        <w:jc w:val="center"/>
        <w:rPr>
          <w:rFonts w:ascii="Bodoni MT" w:hAnsi="Bodoni MT"/>
          <w:sz w:val="24"/>
          <w:szCs w:val="24"/>
        </w:rPr>
        <w:sectPr w:rsidR="00462D3E" w:rsidSect="00695650">
          <w:footerReference w:type="even" r:id="rId11"/>
          <w:footerReference w:type="default" r:id="rId12"/>
          <w:type w:val="nextColumn"/>
          <w:pgSz w:w="11907" w:h="16840" w:code="9"/>
          <w:pgMar w:top="1417" w:right="1417" w:bottom="1417" w:left="1417" w:header="709" w:footer="510" w:gutter="0"/>
          <w:cols w:space="708"/>
          <w:titlePg/>
          <w:docGrid w:linePitch="360"/>
        </w:sectPr>
      </w:pPr>
      <w:r>
        <w:rPr>
          <w:rFonts w:ascii="Bodoni MT" w:hAnsi="Bodoni MT"/>
          <w:sz w:val="24"/>
          <w:szCs w:val="24"/>
        </w:rPr>
        <w:br w:type="page"/>
      </w:r>
    </w:p>
    <w:p w:rsidR="00AD7D80" w:rsidRDefault="00AD7D80" w:rsidP="00AD7D80">
      <w:pPr>
        <w:jc w:val="center"/>
        <w:rPr>
          <w:color w:val="auto"/>
          <w:kern w:val="0"/>
          <w:sz w:val="24"/>
          <w:szCs w:val="24"/>
          <w:lang w:val="fr-BE"/>
        </w:rPr>
      </w:pPr>
      <w:r w:rsidRPr="00AD7D80">
        <w:rPr>
          <w:color w:val="auto"/>
          <w:kern w:val="0"/>
          <w:sz w:val="24"/>
          <w:szCs w:val="24"/>
          <w:lang w:val="fr-BE"/>
        </w:rPr>
        <w:lastRenderedPageBreak/>
        <w:t>Une version</w:t>
      </w:r>
      <w:r w:rsidR="00B4237A">
        <w:rPr>
          <w:color w:val="auto"/>
          <w:kern w:val="0"/>
          <w:sz w:val="24"/>
          <w:szCs w:val="24"/>
          <w:lang w:val="fr-BE"/>
        </w:rPr>
        <w:t xml:space="preserve"> </w:t>
      </w:r>
      <w:r w:rsidRPr="00AD7D80">
        <w:rPr>
          <w:color w:val="auto"/>
          <w:kern w:val="0"/>
          <w:sz w:val="24"/>
          <w:szCs w:val="24"/>
          <w:lang w:val="fr-BE"/>
        </w:rPr>
        <w:t xml:space="preserve">électronique du </w:t>
      </w:r>
      <w:proofErr w:type="spellStart"/>
      <w:r w:rsidRPr="00AD7D80">
        <w:rPr>
          <w:color w:val="auto"/>
          <w:kern w:val="0"/>
          <w:sz w:val="24"/>
          <w:szCs w:val="24"/>
          <w:lang w:val="fr-BE"/>
        </w:rPr>
        <w:t>present</w:t>
      </w:r>
      <w:proofErr w:type="spellEnd"/>
      <w:r w:rsidRPr="00AD7D80">
        <w:rPr>
          <w:color w:val="auto"/>
          <w:kern w:val="0"/>
          <w:sz w:val="24"/>
          <w:szCs w:val="24"/>
          <w:lang w:val="fr-BE"/>
        </w:rPr>
        <w:t xml:space="preserve"> document est disponible et peut être téléchargée </w:t>
      </w:r>
      <w:r w:rsidR="00A22A05">
        <w:rPr>
          <w:color w:val="auto"/>
          <w:kern w:val="0"/>
          <w:sz w:val="24"/>
          <w:szCs w:val="24"/>
          <w:lang w:val="fr-BE"/>
        </w:rPr>
        <w:t>depuis</w:t>
      </w:r>
      <w:r w:rsidRPr="00AD7D80">
        <w:rPr>
          <w:color w:val="auto"/>
          <w:kern w:val="0"/>
          <w:sz w:val="24"/>
          <w:szCs w:val="24"/>
          <w:lang w:val="fr-BE"/>
        </w:rPr>
        <w:t xml:space="preserve"> </w:t>
      </w:r>
      <w:r>
        <w:rPr>
          <w:color w:val="auto"/>
          <w:kern w:val="0"/>
          <w:sz w:val="24"/>
          <w:szCs w:val="24"/>
          <w:lang w:val="fr-BE"/>
        </w:rPr>
        <w:t>notre</w:t>
      </w:r>
      <w:r w:rsidRPr="00AD7D80">
        <w:rPr>
          <w:color w:val="auto"/>
          <w:kern w:val="0"/>
          <w:sz w:val="24"/>
          <w:szCs w:val="24"/>
          <w:lang w:val="fr-BE"/>
        </w:rPr>
        <w:t xml:space="preserve"> site</w:t>
      </w:r>
      <w:r>
        <w:rPr>
          <w:color w:val="auto"/>
          <w:kern w:val="0"/>
          <w:sz w:val="24"/>
          <w:szCs w:val="24"/>
          <w:lang w:val="fr-BE"/>
        </w:rPr>
        <w:t xml:space="preserve"> </w:t>
      </w:r>
      <w:hyperlink r:id="rId13" w:history="1">
        <w:r w:rsidRPr="00BE5EF7">
          <w:rPr>
            <w:rStyle w:val="Lienhypertexte"/>
            <w:kern w:val="0"/>
            <w:sz w:val="24"/>
            <w:szCs w:val="24"/>
            <w:lang w:val="fr-BE"/>
          </w:rPr>
          <w:t>www.irsd.be</w:t>
        </w:r>
      </w:hyperlink>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22A05" w:rsidRDefault="00AD7D80" w:rsidP="00AD7D80">
      <w:pPr>
        <w:jc w:val="center"/>
        <w:rPr>
          <w:color w:val="auto"/>
          <w:kern w:val="0"/>
          <w:sz w:val="24"/>
          <w:szCs w:val="24"/>
          <w:lang w:val="fr-BE"/>
        </w:rPr>
      </w:pPr>
    </w:p>
    <w:p w:rsidR="00AD7D80" w:rsidRPr="00AD7D80" w:rsidRDefault="00AD7D80" w:rsidP="00AD7D80">
      <w:pPr>
        <w:jc w:val="center"/>
        <w:rPr>
          <w:color w:val="auto"/>
          <w:kern w:val="0"/>
          <w:sz w:val="24"/>
          <w:szCs w:val="24"/>
          <w:lang w:val="fr-BE"/>
        </w:rPr>
      </w:pPr>
      <w:r w:rsidRPr="00AD7D80">
        <w:rPr>
          <w:color w:val="auto"/>
          <w:kern w:val="0"/>
          <w:sz w:val="24"/>
          <w:szCs w:val="24"/>
          <w:lang w:val="fr-BE"/>
        </w:rPr>
        <w:t xml:space="preserve">Les vues exprimées dans ce document sont celles de l’auteur et ne reflètent pas nécessairement les positions de l’Institut royal supérieur de </w:t>
      </w:r>
      <w:proofErr w:type="spellStart"/>
      <w:r w:rsidRPr="00AD7D80">
        <w:rPr>
          <w:color w:val="auto"/>
          <w:kern w:val="0"/>
          <w:sz w:val="24"/>
          <w:szCs w:val="24"/>
          <w:lang w:val="fr-BE"/>
        </w:rPr>
        <w:t>defense</w:t>
      </w:r>
      <w:proofErr w:type="spellEnd"/>
      <w:r w:rsidRPr="00AD7D80">
        <w:rPr>
          <w:color w:val="auto"/>
          <w:kern w:val="0"/>
          <w:sz w:val="24"/>
          <w:szCs w:val="24"/>
          <w:lang w:val="fr-BE"/>
        </w:rPr>
        <w:t>, de la Défense belge ou celles du gouvernement belge.</w:t>
      </w: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32CCC" w:rsidRDefault="00AD7D80" w:rsidP="00AD7D80">
      <w:pPr>
        <w:jc w:val="center"/>
        <w:rPr>
          <w:color w:val="auto"/>
          <w:kern w:val="0"/>
          <w:sz w:val="24"/>
          <w:szCs w:val="24"/>
          <w:lang w:val="fr-BE"/>
        </w:rPr>
      </w:pPr>
    </w:p>
    <w:p w:rsidR="00AD7D80" w:rsidRPr="00AD7D80" w:rsidRDefault="00AD7D80" w:rsidP="00AD7D80">
      <w:pPr>
        <w:jc w:val="center"/>
        <w:rPr>
          <w:color w:val="auto"/>
          <w:kern w:val="0"/>
          <w:sz w:val="24"/>
          <w:szCs w:val="24"/>
          <w:lang w:val="fr-BE"/>
        </w:rPr>
      </w:pPr>
      <w:r w:rsidRPr="00AD7D80">
        <w:rPr>
          <w:color w:val="auto"/>
          <w:kern w:val="0"/>
          <w:sz w:val="24"/>
          <w:szCs w:val="24"/>
          <w:lang w:val="fr-BE"/>
        </w:rPr>
        <w:t>Vos questions, remarques ou commentaires relatifs au pr</w:t>
      </w:r>
      <w:r w:rsidR="00A22A05">
        <w:rPr>
          <w:color w:val="auto"/>
          <w:kern w:val="0"/>
          <w:sz w:val="24"/>
          <w:szCs w:val="24"/>
          <w:lang w:val="fr-BE"/>
        </w:rPr>
        <w:t>é</w:t>
      </w:r>
      <w:r w:rsidRPr="00AD7D80">
        <w:rPr>
          <w:color w:val="auto"/>
          <w:kern w:val="0"/>
          <w:sz w:val="24"/>
          <w:szCs w:val="24"/>
          <w:lang w:val="fr-BE"/>
        </w:rPr>
        <w:t xml:space="preserve">sent document peuvent </w:t>
      </w:r>
      <w:r>
        <w:rPr>
          <w:color w:val="auto"/>
          <w:kern w:val="0"/>
          <w:sz w:val="24"/>
          <w:szCs w:val="24"/>
          <w:lang w:val="fr-BE"/>
        </w:rPr>
        <w:t xml:space="preserve">être adressés au </w:t>
      </w:r>
      <w:r w:rsidRPr="00AD7D80">
        <w:rPr>
          <w:color w:val="auto"/>
          <w:kern w:val="0"/>
          <w:sz w:val="24"/>
          <w:szCs w:val="24"/>
          <w:lang w:val="fr-BE"/>
        </w:rPr>
        <w:t>:</w:t>
      </w:r>
    </w:p>
    <w:p w:rsidR="00AD7D80" w:rsidRPr="00AD7D80" w:rsidRDefault="00AD7D80" w:rsidP="00AD7D80">
      <w:pPr>
        <w:jc w:val="center"/>
        <w:rPr>
          <w:color w:val="auto"/>
          <w:kern w:val="0"/>
          <w:sz w:val="24"/>
          <w:szCs w:val="24"/>
          <w:lang w:val="fr-BE"/>
        </w:rPr>
      </w:pPr>
      <w:r w:rsidRPr="00AD7D80">
        <w:rPr>
          <w:color w:val="auto"/>
          <w:kern w:val="0"/>
          <w:sz w:val="24"/>
          <w:szCs w:val="24"/>
          <w:lang w:val="fr-BE"/>
        </w:rPr>
        <w:t>Directeur du Centre d’études de sécurité et défense</w:t>
      </w:r>
    </w:p>
    <w:p w:rsidR="00AD7D80" w:rsidRPr="00222064" w:rsidRDefault="00AD7D80" w:rsidP="00AD7D80">
      <w:pPr>
        <w:jc w:val="center"/>
        <w:rPr>
          <w:color w:val="auto"/>
          <w:kern w:val="0"/>
          <w:sz w:val="24"/>
          <w:szCs w:val="24"/>
          <w:lang w:val="fr-BE"/>
        </w:rPr>
      </w:pPr>
      <w:r>
        <w:rPr>
          <w:color w:val="auto"/>
          <w:kern w:val="0"/>
          <w:sz w:val="24"/>
          <w:szCs w:val="24"/>
          <w:lang w:val="fr-BE"/>
        </w:rPr>
        <w:t>Institut royal supérieur de défense</w:t>
      </w:r>
    </w:p>
    <w:p w:rsidR="00AD7D80" w:rsidRPr="00222064" w:rsidRDefault="00AD7D80" w:rsidP="00AD7D80">
      <w:pPr>
        <w:jc w:val="center"/>
        <w:rPr>
          <w:color w:val="auto"/>
          <w:kern w:val="0"/>
          <w:sz w:val="24"/>
          <w:szCs w:val="24"/>
          <w:lang w:val="fr-BE"/>
        </w:rPr>
      </w:pPr>
      <w:r w:rsidRPr="00222064">
        <w:rPr>
          <w:color w:val="auto"/>
          <w:kern w:val="0"/>
          <w:sz w:val="24"/>
          <w:szCs w:val="24"/>
          <w:lang w:val="fr-BE"/>
        </w:rPr>
        <w:t>Avenue de la Renaissance, 30</w:t>
      </w:r>
    </w:p>
    <w:p w:rsidR="00AD7D80" w:rsidRPr="00AD7D80" w:rsidRDefault="00AD7D80" w:rsidP="00AD7D80">
      <w:pPr>
        <w:jc w:val="center"/>
        <w:rPr>
          <w:color w:val="auto"/>
          <w:kern w:val="0"/>
          <w:sz w:val="24"/>
          <w:szCs w:val="24"/>
          <w:lang w:val="fr-BE"/>
        </w:rPr>
      </w:pPr>
      <w:r w:rsidRPr="00AD7D80">
        <w:rPr>
          <w:color w:val="auto"/>
          <w:kern w:val="0"/>
          <w:sz w:val="24"/>
          <w:szCs w:val="24"/>
          <w:lang w:val="fr-BE"/>
        </w:rPr>
        <w:t>1000 Bruxelles</w:t>
      </w:r>
    </w:p>
    <w:p w:rsidR="00AD7D80" w:rsidRPr="00AD7D80" w:rsidRDefault="00A22A05" w:rsidP="00AD7D80">
      <w:pPr>
        <w:jc w:val="center"/>
        <w:rPr>
          <w:color w:val="auto"/>
          <w:kern w:val="0"/>
          <w:sz w:val="24"/>
          <w:szCs w:val="24"/>
          <w:lang w:val="fr-BE"/>
        </w:rPr>
      </w:pPr>
      <w:proofErr w:type="gramStart"/>
      <w:r>
        <w:rPr>
          <w:color w:val="auto"/>
          <w:kern w:val="0"/>
          <w:sz w:val="24"/>
          <w:szCs w:val="24"/>
          <w:lang w:val="fr-BE"/>
        </w:rPr>
        <w:t>o</w:t>
      </w:r>
      <w:r w:rsidR="00AD7D80" w:rsidRPr="00AD7D80">
        <w:rPr>
          <w:color w:val="auto"/>
          <w:kern w:val="0"/>
          <w:sz w:val="24"/>
          <w:szCs w:val="24"/>
          <w:lang w:val="fr-BE"/>
        </w:rPr>
        <w:t>u</w:t>
      </w:r>
      <w:proofErr w:type="gramEnd"/>
      <w:r w:rsidR="00AD7D80" w:rsidRPr="00AD7D80">
        <w:rPr>
          <w:color w:val="auto"/>
          <w:kern w:val="0"/>
          <w:sz w:val="24"/>
          <w:szCs w:val="24"/>
          <w:lang w:val="fr-BE"/>
        </w:rPr>
        <w:t xml:space="preserve"> par courriel à : +IRSD-CESD-SCVD@mil.be</w:t>
      </w:r>
    </w:p>
    <w:p w:rsidR="00AD7D80" w:rsidRPr="00AD7D80" w:rsidRDefault="00AD7D80">
      <w:pPr>
        <w:rPr>
          <w:rFonts w:ascii="Bodoni MT" w:hAnsi="Bodoni MT"/>
          <w:sz w:val="24"/>
          <w:szCs w:val="24"/>
          <w:lang w:val="fr-BE"/>
        </w:rPr>
      </w:pPr>
    </w:p>
    <w:p w:rsidR="0029471D" w:rsidRPr="00AD7D80" w:rsidRDefault="0029471D" w:rsidP="00462D3E">
      <w:pPr>
        <w:jc w:val="center"/>
        <w:rPr>
          <w:rFonts w:ascii="Bodoni MT" w:hAnsi="Bodoni MT"/>
          <w:sz w:val="24"/>
          <w:szCs w:val="24"/>
          <w:lang w:val="fr-BE"/>
        </w:rPr>
      </w:pPr>
    </w:p>
    <w:p w:rsidR="00222064" w:rsidRPr="00A32CCC" w:rsidRDefault="00462D3E" w:rsidP="008A7533">
      <w:pPr>
        <w:jc w:val="center"/>
        <w:rPr>
          <w:color w:val="auto"/>
          <w:kern w:val="0"/>
          <w:sz w:val="24"/>
          <w:szCs w:val="24"/>
          <w:lang w:val="fr-BE"/>
        </w:rPr>
      </w:pPr>
      <w:r w:rsidRPr="00A32CCC">
        <w:rPr>
          <w:lang w:val="fr-BE"/>
        </w:rPr>
        <w:br w:type="page"/>
      </w:r>
    </w:p>
    <w:p w:rsidR="007C7967" w:rsidRPr="000B0B43" w:rsidRDefault="00603254" w:rsidP="008A7533">
      <w:pPr>
        <w:autoSpaceDE w:val="0"/>
        <w:autoSpaceDN w:val="0"/>
        <w:adjustRightInd w:val="0"/>
        <w:spacing w:after="1920"/>
        <w:ind w:left="720"/>
        <w:rPr>
          <w:rFonts w:ascii="Century Schoolbook" w:hAnsi="Century Schoolbook"/>
          <w:b/>
          <w:color w:val="1F497D"/>
          <w:sz w:val="48"/>
          <w:szCs w:val="48"/>
          <w:lang w:val="fr-BE"/>
        </w:rPr>
      </w:pPr>
      <w:r w:rsidRPr="00603254">
        <w:rPr>
          <w:noProof/>
        </w:rPr>
        <w:lastRenderedPageBreak/>
        <w:pict>
          <v:rect id="Rectangle 5575" o:spid="_x0000_s1048" style="position:absolute;left:0;text-align:left;margin-left:0;margin-top:-10.65pt;width:36pt;height:63pt;z-index:2517094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" fillcolor="#1f497d" stroked="f" strokeweight="0" insetpen="t">
            <v:shadow color="#ccc"/>
            <v:textbox inset="2.88pt,2.88pt,2.88pt,2.88pt"/>
          </v:rect>
        </w:pict>
      </w:r>
      <w:r w:rsidR="00CB396E" w:rsidRPr="008A7533">
        <w:rPr>
          <w:sz w:val="48"/>
          <w:szCs w:val="48"/>
          <w:lang w:val="fr-BE"/>
        </w:rPr>
        <w:br/>
      </w:r>
      <w:r w:rsidR="008A7533">
        <w:rPr>
          <w:rFonts w:ascii="Century Schoolbook" w:hAnsi="Century Schoolbook"/>
          <w:b/>
          <w:color w:val="1F497D"/>
          <w:sz w:val="48"/>
          <w:szCs w:val="48"/>
          <w:lang w:val="fr-BE"/>
        </w:rPr>
        <w:t>Résumé</w:t>
      </w:r>
    </w:p>
    <w:p w:rsidR="008A7533" w:rsidRDefault="008A7533" w:rsidP="008A7533">
      <w:pPr>
        <w:jc w:val="both"/>
        <w:rPr>
          <w:rFonts w:asciiTheme="minorHAnsi" w:hAnsiTheme="minorHAnsi" w:cstheme="minorHAnsi"/>
          <w:sz w:val="22"/>
          <w:szCs w:val="22"/>
          <w:lang w:val="fr-FR"/>
        </w:rPr>
      </w:pPr>
      <w:r w:rsidRPr="008A7533">
        <w:rPr>
          <w:rFonts w:asciiTheme="minorHAnsi" w:hAnsiTheme="minorHAnsi" w:cstheme="minorHAnsi"/>
          <w:sz w:val="22"/>
          <w:szCs w:val="22"/>
          <w:lang w:val="fr-FR"/>
        </w:rPr>
        <w:t xml:space="preserve">Ce rapport examine les éléments constitutifs de la sécurité-défense européenne qui se retrouvent dans le « Livre blanc. Défense et sécurité nationale » français paru en juillet 2013. Si la relance de la sécurité-défense européenne est une des priorités pour la France, l’insistance porte sur le maintien d’un double engagement UE-OTAN, la nécessité de coopérer davantage dans le capacitaire de manière pragmatique tout en insistant sur </w:t>
      </w:r>
      <w:r w:rsidR="00001EB4">
        <w:rPr>
          <w:rFonts w:asciiTheme="minorHAnsi" w:hAnsiTheme="minorHAnsi" w:cstheme="minorHAnsi"/>
          <w:sz w:val="22"/>
          <w:szCs w:val="22"/>
          <w:lang w:val="fr-FR"/>
        </w:rPr>
        <w:t>quatre</w:t>
      </w:r>
      <w:r w:rsidRPr="008A7533">
        <w:rPr>
          <w:rFonts w:asciiTheme="minorHAnsi" w:hAnsiTheme="minorHAnsi" w:cstheme="minorHAnsi"/>
          <w:sz w:val="22"/>
          <w:szCs w:val="22"/>
          <w:lang w:val="fr-FR"/>
        </w:rPr>
        <w:t xml:space="preserve"> concepts majeurs qui peuvent, au demeurant, s’avérer antinomique : coopération, garantie de souveraineté hexagonale, protection des intérêts nationaux et capacité à « entrer en premier ». Il s’agira aussi pour Paris de tenter d’éviter l’effacement stratégique et d’entraîner les alliés européens dans une démarche de responsabilisation via des coopérations à la carte.</w:t>
      </w: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r w:rsidRPr="008A7533">
        <w:rPr>
          <w:rFonts w:asciiTheme="minorHAnsi" w:hAnsiTheme="minorHAnsi" w:cstheme="minorHAnsi"/>
          <w:sz w:val="22"/>
          <w:szCs w:val="22"/>
          <w:lang w:val="fr-FR"/>
        </w:rPr>
        <w:t>Mots clefs : Livre blanc de la défense, France, Belgique, enseignements, PSDC</w:t>
      </w:r>
    </w:p>
    <w:p w:rsidR="00E73FE2" w:rsidRDefault="008A7533">
      <w:pPr>
        <w:rPr>
          <w:rFonts w:asciiTheme="minorHAnsi" w:hAnsiTheme="minorHAnsi" w:cstheme="minorHAnsi"/>
          <w:sz w:val="22"/>
          <w:szCs w:val="22"/>
          <w:lang w:val="fr-FR"/>
        </w:rPr>
      </w:pPr>
      <w:r>
        <w:rPr>
          <w:rFonts w:asciiTheme="minorHAnsi" w:hAnsiTheme="minorHAnsi" w:cstheme="minorHAnsi"/>
          <w:sz w:val="22"/>
          <w:szCs w:val="22"/>
          <w:lang w:val="fr-FR"/>
        </w:rPr>
        <w:br w:type="page"/>
      </w:r>
      <w:r w:rsidR="00E73FE2">
        <w:rPr>
          <w:rFonts w:asciiTheme="minorHAnsi" w:hAnsiTheme="minorHAnsi" w:cstheme="minorHAnsi"/>
          <w:sz w:val="22"/>
          <w:szCs w:val="22"/>
          <w:lang w:val="fr-FR"/>
        </w:rPr>
        <w:lastRenderedPageBreak/>
        <w:br w:type="page"/>
      </w:r>
    </w:p>
    <w:p w:rsidR="008A7533" w:rsidRDefault="008A7533">
      <w:pPr>
        <w:rPr>
          <w:rFonts w:asciiTheme="minorHAnsi" w:hAnsiTheme="minorHAnsi" w:cstheme="minorHAnsi"/>
          <w:sz w:val="22"/>
          <w:szCs w:val="22"/>
          <w:lang w:val="fr-FR"/>
        </w:rPr>
      </w:pPr>
    </w:p>
    <w:p w:rsidR="008A7533" w:rsidRDefault="0076561B" w:rsidP="00911CB0">
      <w:pPr>
        <w:ind w:left="2977"/>
        <w:jc w:val="both"/>
        <w:rPr>
          <w:rFonts w:asciiTheme="minorHAnsi" w:hAnsiTheme="minorHAnsi" w:cstheme="minorHAnsi"/>
          <w:sz w:val="22"/>
          <w:szCs w:val="22"/>
          <w:lang w:val="fr-FR"/>
        </w:rPr>
      </w:pPr>
      <w:r>
        <w:rPr>
          <w:noProof/>
          <w:lang w:val="fr-BE" w:eastAsia="fr-BE"/>
        </w:rPr>
        <w:drawing>
          <wp:anchor distT="0" distB="0" distL="114300" distR="114300" simplePos="0" relativeHeight="251801600" behindDoc="0" locked="0" layoutInCell="1" allowOverlap="1">
            <wp:simplePos x="0" y="0"/>
            <wp:positionH relativeFrom="column">
              <wp:posOffset>113665</wp:posOffset>
            </wp:positionH>
            <wp:positionV relativeFrom="paragraph">
              <wp:posOffset>-53975</wp:posOffset>
            </wp:positionV>
            <wp:extent cx="1714500" cy="1752600"/>
            <wp:effectExtent l="0" t="0" r="0" b="0"/>
            <wp:wrapNone/>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752600"/>
                    </a:xfrm>
                    <a:prstGeom prst="rect">
                      <a:avLst/>
                    </a:prstGeom>
                    <a:solidFill>
                      <a:srgbClr val="FFFFFF"/>
                    </a:solidFill>
                    <a:ln>
                      <a:noFill/>
                    </a:ln>
                  </pic:spPr>
                </pic:pic>
              </a:graphicData>
            </a:graphic>
          </wp:anchor>
        </w:drawing>
      </w:r>
      <w:r w:rsidR="00911CB0">
        <w:rPr>
          <w:rFonts w:ascii="Century Schoolbook" w:hAnsi="Century Schoolbook"/>
          <w:b/>
          <w:color w:val="1F497D"/>
          <w:sz w:val="48"/>
          <w:szCs w:val="48"/>
          <w:lang w:val="fr-BE"/>
        </w:rPr>
        <w:t>L’auteur</w:t>
      </w:r>
      <w:r w:rsidR="00911CB0" w:rsidRPr="00A32CCC">
        <w:rPr>
          <w:noProof/>
          <w:lang w:val="fr-BE"/>
        </w:rPr>
        <w:t xml:space="preserve"> </w:t>
      </w: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Default="008A7533" w:rsidP="008A7533">
      <w:pPr>
        <w:jc w:val="both"/>
        <w:rPr>
          <w:rFonts w:asciiTheme="minorHAnsi" w:hAnsiTheme="minorHAnsi" w:cstheme="minorHAnsi"/>
          <w:sz w:val="22"/>
          <w:szCs w:val="22"/>
          <w:lang w:val="fr-FR"/>
        </w:rPr>
      </w:pPr>
    </w:p>
    <w:p w:rsidR="008A7533" w:rsidRPr="008A7533" w:rsidRDefault="008A7533" w:rsidP="008A7533">
      <w:pPr>
        <w:jc w:val="both"/>
        <w:rPr>
          <w:rFonts w:asciiTheme="minorHAnsi" w:hAnsiTheme="minorHAnsi" w:cstheme="minorHAnsi"/>
          <w:sz w:val="22"/>
          <w:szCs w:val="22"/>
          <w:lang w:val="fr-FR"/>
        </w:rPr>
      </w:pPr>
    </w:p>
    <w:p w:rsidR="0076561B" w:rsidRDefault="0076561B" w:rsidP="00CB396E">
      <w:pPr>
        <w:ind w:left="720"/>
        <w:rPr>
          <w:sz w:val="24"/>
          <w:szCs w:val="24"/>
          <w:lang w:val="fr-BE"/>
        </w:rPr>
      </w:pPr>
    </w:p>
    <w:p w:rsidR="0076561B" w:rsidRDefault="0076561B" w:rsidP="00CB396E">
      <w:pPr>
        <w:ind w:left="720"/>
        <w:rPr>
          <w:sz w:val="24"/>
          <w:szCs w:val="24"/>
          <w:lang w:val="fr-BE"/>
        </w:rPr>
      </w:pPr>
    </w:p>
    <w:p w:rsidR="0076561B" w:rsidRDefault="0076561B" w:rsidP="00CB396E">
      <w:pPr>
        <w:ind w:left="720"/>
        <w:rPr>
          <w:sz w:val="24"/>
          <w:szCs w:val="24"/>
          <w:lang w:val="fr-BE"/>
        </w:rPr>
      </w:pPr>
    </w:p>
    <w:p w:rsidR="0076561B" w:rsidRDefault="0076561B" w:rsidP="00CB396E">
      <w:pPr>
        <w:ind w:left="720"/>
        <w:rPr>
          <w:sz w:val="24"/>
          <w:szCs w:val="24"/>
          <w:lang w:val="fr-BE"/>
        </w:rPr>
      </w:pPr>
    </w:p>
    <w:p w:rsidR="0076561B" w:rsidRDefault="0076561B" w:rsidP="00CB396E">
      <w:pPr>
        <w:ind w:left="720"/>
        <w:rPr>
          <w:sz w:val="24"/>
          <w:szCs w:val="24"/>
          <w:lang w:val="fr-BE"/>
        </w:rPr>
      </w:pPr>
    </w:p>
    <w:p w:rsidR="0076561B" w:rsidRPr="0076561B" w:rsidRDefault="0076561B" w:rsidP="0076561B">
      <w:pPr>
        <w:ind w:left="142"/>
        <w:jc w:val="both"/>
        <w:rPr>
          <w:rFonts w:asciiTheme="minorHAnsi" w:hAnsiTheme="minorHAnsi" w:cstheme="minorHAnsi"/>
          <w:sz w:val="22"/>
          <w:szCs w:val="24"/>
          <w:lang w:val="fr-FR"/>
        </w:rPr>
      </w:pPr>
      <w:r w:rsidRPr="0076561B">
        <w:rPr>
          <w:rFonts w:asciiTheme="minorHAnsi" w:hAnsiTheme="minorHAnsi" w:cstheme="minorHAnsi"/>
          <w:sz w:val="22"/>
          <w:szCs w:val="24"/>
          <w:lang w:val="fr-FR"/>
        </w:rPr>
        <w:t>André Dumoulin est chercheur au Centre d’études de sécurité et défense de l’Institut royal supérieur de défense et chargé de cours à l’Université de Liège.</w:t>
      </w:r>
    </w:p>
    <w:p w:rsidR="0076561B" w:rsidRPr="0076561B" w:rsidRDefault="0076561B" w:rsidP="0076561B">
      <w:pPr>
        <w:ind w:left="142"/>
        <w:jc w:val="both"/>
        <w:rPr>
          <w:rFonts w:asciiTheme="minorHAnsi" w:hAnsiTheme="minorHAnsi" w:cstheme="minorHAnsi"/>
          <w:sz w:val="22"/>
          <w:szCs w:val="24"/>
          <w:lang w:val="fr-FR"/>
        </w:rPr>
      </w:pPr>
      <w:r w:rsidRPr="0076561B">
        <w:rPr>
          <w:rFonts w:asciiTheme="minorHAnsi" w:hAnsiTheme="minorHAnsi" w:cstheme="minorHAnsi"/>
          <w:sz w:val="22"/>
          <w:szCs w:val="24"/>
          <w:lang w:val="fr-FR"/>
        </w:rPr>
        <w:t>Ses centres d’intérêt sont la sécurité-défense européenne, la politique de défense de la France et les questions de dissuasion nucléaire.</w:t>
      </w:r>
    </w:p>
    <w:p w:rsidR="006720E6" w:rsidRDefault="00E73FE2">
      <w:pPr>
        <w:rPr>
          <w:sz w:val="24"/>
          <w:szCs w:val="24"/>
          <w:lang w:val="fr-FR"/>
        </w:rPr>
      </w:pPr>
      <w:r>
        <w:rPr>
          <w:sz w:val="24"/>
          <w:szCs w:val="24"/>
          <w:lang w:val="fr-FR"/>
        </w:rPr>
        <w:br w:type="page"/>
      </w:r>
    </w:p>
    <w:p w:rsidR="006720E6" w:rsidRDefault="006720E6">
      <w:pPr>
        <w:rPr>
          <w:sz w:val="24"/>
          <w:szCs w:val="24"/>
          <w:lang w:val="fr-FR"/>
        </w:rPr>
      </w:pPr>
      <w:r>
        <w:rPr>
          <w:sz w:val="24"/>
          <w:szCs w:val="24"/>
          <w:lang w:val="fr-FR"/>
        </w:rPr>
        <w:lastRenderedPageBreak/>
        <w:br w:type="page"/>
      </w:r>
    </w:p>
    <w:p w:rsidR="00E73FE2" w:rsidRDefault="00E73FE2">
      <w:pPr>
        <w:rPr>
          <w:sz w:val="24"/>
          <w:szCs w:val="24"/>
          <w:lang w:val="fr-FR"/>
        </w:rPr>
      </w:pPr>
    </w:p>
    <w:p w:rsidR="006720E6" w:rsidRDefault="006720E6">
      <w:pPr>
        <w:rPr>
          <w:sz w:val="24"/>
          <w:szCs w:val="24"/>
          <w:lang w:val="fr-FR"/>
        </w:rPr>
      </w:pPr>
    </w:p>
    <w:p w:rsidR="00E73FE2" w:rsidRDefault="00603254" w:rsidP="00E73FE2">
      <w:pPr>
        <w:ind w:left="851"/>
        <w:rPr>
          <w:rFonts w:ascii="Century Schoolbook" w:hAnsi="Century Schoolbook"/>
          <w:b/>
          <w:color w:val="1F497D"/>
          <w:sz w:val="48"/>
          <w:szCs w:val="48"/>
          <w:lang w:val="fr-BE"/>
        </w:rPr>
      </w:pPr>
      <w:r w:rsidRPr="00603254">
        <w:rPr>
          <w:noProof/>
          <w:sz w:val="22"/>
          <w:szCs w:val="22"/>
        </w:rPr>
        <w:pict>
          <v:rect id="Rectangle 5554" o:spid="_x0000_s1047" style="position:absolute;left:0;text-align:left;margin-left:-5.55pt;margin-top:-7.4pt;width:36pt;height:63pt;z-index:25180364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" fillcolor="#1f497d" stroked="f" strokeweight="0" insetpen="t">
            <v:shadow color="#ccc"/>
            <v:textbox inset="2.88pt,2.88pt,2.88pt,2.88pt"/>
          </v:rect>
        </w:pict>
      </w:r>
    </w:p>
    <w:p w:rsidR="0076561B" w:rsidRDefault="00E73FE2" w:rsidP="00E73FE2">
      <w:pPr>
        <w:ind w:left="851"/>
        <w:rPr>
          <w:rFonts w:ascii="Century Schoolbook" w:hAnsi="Century Schoolbook"/>
          <w:b/>
          <w:color w:val="1F497D"/>
          <w:sz w:val="48"/>
          <w:szCs w:val="48"/>
          <w:lang w:val="fr-BE"/>
        </w:rPr>
      </w:pPr>
      <w:r>
        <w:rPr>
          <w:rFonts w:ascii="Century Schoolbook" w:hAnsi="Century Schoolbook"/>
          <w:b/>
          <w:color w:val="1F497D"/>
          <w:sz w:val="48"/>
          <w:szCs w:val="48"/>
          <w:lang w:val="fr-BE"/>
        </w:rPr>
        <w:t>Table des matières</w:t>
      </w:r>
    </w:p>
    <w:p w:rsidR="00967917" w:rsidRPr="0076561B" w:rsidRDefault="00967917" w:rsidP="00E73FE2">
      <w:pPr>
        <w:ind w:left="851"/>
        <w:rPr>
          <w:sz w:val="24"/>
          <w:szCs w:val="24"/>
          <w:lang w:val="fr-FR"/>
        </w:rPr>
      </w:pPr>
    </w:p>
    <w:sdt>
      <w:sdtPr>
        <w:rPr>
          <w:rFonts w:ascii="Times New Roman" w:eastAsia="Times New Roman" w:hAnsi="Times New Roman" w:cs="Times New Roman"/>
          <w:b w:val="0"/>
          <w:bCs w:val="0"/>
          <w:color w:val="000000"/>
          <w:kern w:val="28"/>
          <w:sz w:val="20"/>
          <w:szCs w:val="20"/>
          <w:lang w:eastAsia="en-US"/>
        </w:rPr>
        <w:id w:val="1131127912"/>
        <w:docPartObj>
          <w:docPartGallery w:val="Table of Contents"/>
          <w:docPartUnique/>
        </w:docPartObj>
      </w:sdtPr>
      <w:sdtEndPr>
        <w:rPr>
          <w:color w:val="auto"/>
          <w:lang w:val="fr-BE"/>
        </w:rPr>
      </w:sdtEndPr>
      <w:sdtContent>
        <w:p w:rsidR="00B4237A" w:rsidRPr="00B4237A" w:rsidRDefault="00B4237A" w:rsidP="006720E6">
          <w:pPr>
            <w:pStyle w:val="En-ttedetabledesmatires"/>
            <w:rPr>
              <w:color w:val="auto"/>
              <w:sz w:val="20"/>
              <w:szCs w:val="20"/>
              <w:lang w:val="fr-BE"/>
            </w:rPr>
          </w:pPr>
          <w:r w:rsidRPr="00B4237A">
            <w:rPr>
              <w:color w:val="auto"/>
              <w:sz w:val="20"/>
              <w:szCs w:val="20"/>
              <w:lang w:val="fr-BE"/>
            </w:rPr>
            <w:t>Ré</w:t>
          </w:r>
          <w:r w:rsidR="006720E6" w:rsidRPr="00B4237A">
            <w:rPr>
              <w:color w:val="auto"/>
              <w:sz w:val="20"/>
              <w:szCs w:val="20"/>
              <w:lang w:val="fr-BE"/>
            </w:rPr>
            <w:t>sumé</w:t>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r>
          <w:r>
            <w:rPr>
              <w:color w:val="auto"/>
              <w:sz w:val="20"/>
              <w:szCs w:val="20"/>
              <w:lang w:val="fr-BE"/>
            </w:rPr>
            <w:tab/>
            <w:t>3</w:t>
          </w:r>
        </w:p>
        <w:p w:rsidR="006720E6" w:rsidRPr="00B4237A" w:rsidRDefault="006720E6" w:rsidP="006720E6">
          <w:pPr>
            <w:pStyle w:val="En-ttedetabledesmatires"/>
            <w:rPr>
              <w:color w:val="auto"/>
              <w:sz w:val="20"/>
              <w:szCs w:val="20"/>
              <w:lang w:val="fr-BE"/>
            </w:rPr>
          </w:pP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r w:rsidRPr="00B4237A">
            <w:rPr>
              <w:color w:val="auto"/>
              <w:sz w:val="20"/>
              <w:szCs w:val="20"/>
              <w:lang w:val="fr-BE"/>
            </w:rPr>
            <w:tab/>
          </w:r>
        </w:p>
        <w:p w:rsidR="00B4237A" w:rsidRPr="00B4237A" w:rsidRDefault="006720E6" w:rsidP="00B4237A">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Auteur</w:t>
          </w:r>
          <w:r w:rsidRP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t>5</w:t>
          </w:r>
        </w:p>
        <w:p w:rsidR="006720E6" w:rsidRP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p>
        <w:p w:rsidR="00B4237A" w:rsidRP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Table des matières</w:t>
          </w:r>
          <w:r w:rsidRPr="00B4237A">
            <w:rPr>
              <w:rFonts w:asciiTheme="majorHAnsi" w:eastAsiaTheme="majorEastAsia" w:hAnsiTheme="majorHAnsi" w:cstheme="majorBidi"/>
              <w:b/>
              <w:bCs/>
              <w:color w:val="auto"/>
              <w:kern w:val="0"/>
              <w:lang w:val="fr-BE" w:eastAsia="ja-JP"/>
            </w:rPr>
            <w:tab/>
          </w:r>
        </w:p>
        <w:p w:rsidR="006720E6" w:rsidRP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t>7</w:t>
          </w:r>
        </w:p>
        <w:p w:rsidR="00B4237A" w:rsidRP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Abréviations et acronymes</w:t>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625F4C">
            <w:rPr>
              <w:rFonts w:asciiTheme="majorHAnsi" w:eastAsiaTheme="majorEastAsia" w:hAnsiTheme="majorHAnsi" w:cstheme="majorBidi"/>
              <w:b/>
              <w:bCs/>
              <w:color w:val="auto"/>
              <w:kern w:val="0"/>
              <w:lang w:val="fr-BE" w:eastAsia="ja-JP"/>
            </w:rPr>
            <w:t>9</w:t>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p>
        <w:p w:rsidR="006720E6" w:rsidRP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p>
        <w:p w:rsidR="006720E6" w:rsidRP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Introduction</w:t>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t>10</w:t>
          </w:r>
        </w:p>
        <w:p w:rsidR="00B4237A" w:rsidRPr="00B4237A" w:rsidRDefault="00B4237A" w:rsidP="006720E6">
          <w:pPr>
            <w:rPr>
              <w:rFonts w:asciiTheme="majorHAnsi" w:eastAsiaTheme="majorEastAsia" w:hAnsiTheme="majorHAnsi" w:cstheme="majorBidi"/>
              <w:b/>
              <w:bCs/>
              <w:color w:val="auto"/>
              <w:kern w:val="0"/>
              <w:lang w:val="fr-BE" w:eastAsia="ja-JP"/>
            </w:rPr>
          </w:pPr>
        </w:p>
        <w:p w:rsid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Partie 1 : Bilan des travaux autour de l’élaboration du Livre blanc français</w:t>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r w:rsidR="00B4237A">
            <w:rPr>
              <w:rFonts w:asciiTheme="majorHAnsi" w:eastAsiaTheme="majorEastAsia" w:hAnsiTheme="majorHAnsi" w:cstheme="majorBidi"/>
              <w:b/>
              <w:bCs/>
              <w:color w:val="auto"/>
              <w:kern w:val="0"/>
              <w:lang w:val="fr-BE" w:eastAsia="ja-JP"/>
            </w:rPr>
            <w:tab/>
          </w:r>
        </w:p>
        <w:p w:rsidR="006720E6" w:rsidRPr="00B4237A" w:rsidRDefault="006720E6"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 xml:space="preserve"> </w:t>
          </w:r>
          <w:proofErr w:type="gramStart"/>
          <w:r w:rsidRPr="00B4237A">
            <w:rPr>
              <w:rFonts w:asciiTheme="majorHAnsi" w:eastAsiaTheme="majorEastAsia" w:hAnsiTheme="majorHAnsi" w:cstheme="majorBidi"/>
              <w:b/>
              <w:bCs/>
              <w:color w:val="auto"/>
              <w:kern w:val="0"/>
              <w:lang w:val="fr-BE" w:eastAsia="ja-JP"/>
            </w:rPr>
            <w:t>de</w:t>
          </w:r>
          <w:proofErr w:type="gramEnd"/>
          <w:r w:rsidRPr="00B4237A">
            <w:rPr>
              <w:rFonts w:asciiTheme="majorHAnsi" w:eastAsiaTheme="majorEastAsia" w:hAnsiTheme="majorHAnsi" w:cstheme="majorBidi"/>
              <w:b/>
              <w:bCs/>
              <w:color w:val="auto"/>
              <w:kern w:val="0"/>
              <w:lang w:val="fr-BE" w:eastAsia="ja-JP"/>
            </w:rPr>
            <w:t xml:space="preserve"> la défense 2013</w:t>
          </w:r>
        </w:p>
        <w:p w:rsidR="006720E6" w:rsidRPr="00B4237A" w:rsidRDefault="006720E6" w:rsidP="006720E6">
          <w:pPr>
            <w:rPr>
              <w:rFonts w:asciiTheme="majorHAnsi" w:eastAsiaTheme="majorEastAsia" w:hAnsiTheme="majorHAnsi" w:cstheme="majorBidi"/>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Cs/>
              <w:color w:val="auto"/>
              <w:kern w:val="0"/>
              <w:lang w:val="fr-BE" w:eastAsia="ja-JP"/>
            </w:rPr>
            <w:t>Contexte général</w:t>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13</w:t>
          </w:r>
          <w:r w:rsidR="009921BA" w:rsidRPr="00B4237A">
            <w:rPr>
              <w:rFonts w:asciiTheme="majorHAnsi" w:eastAsiaTheme="majorEastAsia" w:hAnsiTheme="majorHAnsi" w:cstheme="majorBidi"/>
              <w:bCs/>
              <w:color w:val="auto"/>
              <w:kern w:val="0"/>
              <w:lang w:val="fr-BE" w:eastAsia="ja-JP"/>
            </w:rPr>
            <w:tab/>
          </w:r>
        </w:p>
        <w:p w:rsidR="00B4237A" w:rsidRPr="00B4237A" w:rsidRDefault="006720E6" w:rsidP="006720E6">
          <w:pPr>
            <w:rPr>
              <w:rFonts w:asciiTheme="majorHAnsi" w:eastAsiaTheme="majorEastAsia" w:hAnsiTheme="majorHAnsi" w:cstheme="majorBidi"/>
              <w:bCs/>
              <w:color w:val="auto"/>
              <w:kern w:val="0"/>
              <w:lang w:val="fr-BE" w:eastAsia="ja-JP"/>
            </w:rPr>
          </w:pPr>
          <w:r w:rsidRPr="00B4237A">
            <w:rPr>
              <w:rFonts w:asciiTheme="majorHAnsi" w:eastAsiaTheme="majorEastAsia" w:hAnsiTheme="majorHAnsi" w:cstheme="majorBidi"/>
              <w:bCs/>
              <w:color w:val="auto"/>
              <w:kern w:val="0"/>
              <w:lang w:val="fr-BE" w:eastAsia="ja-JP"/>
            </w:rPr>
            <w:tab/>
            <w:t>Processus et nouvelle méthode d’élaboration</w:t>
          </w:r>
          <w:r w:rsidR="00967917" w:rsidRP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ab/>
            <w:t>16</w:t>
          </w:r>
        </w:p>
        <w:p w:rsidR="006720E6" w:rsidRPr="00B4237A" w:rsidRDefault="00967917" w:rsidP="006720E6">
          <w:pPr>
            <w:rPr>
              <w:rFonts w:asciiTheme="majorHAnsi" w:eastAsiaTheme="majorEastAsia" w:hAnsiTheme="majorHAnsi" w:cstheme="majorBidi"/>
              <w:bCs/>
              <w:color w:val="auto"/>
              <w:kern w:val="0"/>
              <w:lang w:val="fr-BE" w:eastAsia="ja-JP"/>
            </w:rPr>
          </w:pP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p>
        <w:p w:rsidR="006720E6" w:rsidRPr="00B4237A" w:rsidRDefault="006720E6" w:rsidP="006720E6">
          <w:pPr>
            <w:rPr>
              <w:lang w:val="fr-BE"/>
            </w:rPr>
          </w:pPr>
          <w:r w:rsidRPr="00B4237A">
            <w:rPr>
              <w:rFonts w:asciiTheme="majorHAnsi" w:eastAsiaTheme="majorEastAsia" w:hAnsiTheme="majorHAnsi" w:cstheme="majorBidi"/>
              <w:b/>
              <w:bCs/>
              <w:color w:val="auto"/>
              <w:kern w:val="0"/>
              <w:lang w:val="fr-BE" w:eastAsia="ja-JP"/>
            </w:rPr>
            <w:t>Partie 2 : Lignes de forces « européistes » du Livre blanc français de la Défense</w:t>
          </w:r>
        </w:p>
        <w:p w:rsidR="006720E6" w:rsidRPr="00B4237A" w:rsidRDefault="006720E6" w:rsidP="006720E6">
          <w:pPr>
            <w:rPr>
              <w:rFonts w:asciiTheme="majorHAnsi" w:eastAsiaTheme="majorEastAsia" w:hAnsiTheme="majorHAnsi" w:cstheme="majorBidi"/>
              <w:bCs/>
              <w:color w:val="auto"/>
              <w:kern w:val="0"/>
              <w:lang w:val="fr-BE" w:eastAsia="ja-JP"/>
            </w:rPr>
          </w:pPr>
          <w:r w:rsidRPr="00B4237A">
            <w:rPr>
              <w:lang w:val="fr-BE"/>
            </w:rPr>
            <w:tab/>
          </w:r>
          <w:r w:rsidRPr="00B4237A">
            <w:rPr>
              <w:rFonts w:asciiTheme="majorHAnsi" w:eastAsiaTheme="majorEastAsia" w:hAnsiTheme="majorHAnsi" w:cstheme="majorBidi"/>
              <w:bCs/>
              <w:color w:val="auto"/>
              <w:kern w:val="0"/>
              <w:lang w:val="fr-BE" w:eastAsia="ja-JP"/>
            </w:rPr>
            <w:t>Contenu et premiers enseignements</w:t>
          </w:r>
          <w:r w:rsidR="00967917" w:rsidRPr="00B4237A">
            <w:rPr>
              <w:rFonts w:asciiTheme="majorHAnsi" w:eastAsiaTheme="majorEastAsia" w:hAnsiTheme="majorHAnsi" w:cstheme="majorBidi"/>
              <w:bCs/>
              <w:color w:val="auto"/>
              <w:kern w:val="0"/>
              <w:lang w:val="fr-BE" w:eastAsia="ja-JP"/>
            </w:rPr>
            <w:tab/>
          </w:r>
          <w:r w:rsidR="00967917" w:rsidRPr="00B4237A">
            <w:rPr>
              <w:rFonts w:asciiTheme="majorHAnsi" w:eastAsiaTheme="majorEastAsia" w:hAnsiTheme="majorHAnsi" w:cstheme="majorBidi"/>
              <w:bCs/>
              <w:color w:val="auto"/>
              <w:kern w:val="0"/>
              <w:lang w:val="fr-BE" w:eastAsia="ja-JP"/>
            </w:rPr>
            <w:tab/>
          </w:r>
          <w:r w:rsidR="00967917" w:rsidRPr="00B4237A">
            <w:rPr>
              <w:rFonts w:asciiTheme="majorHAnsi" w:eastAsiaTheme="majorEastAsia" w:hAnsiTheme="majorHAnsi" w:cstheme="majorBidi"/>
              <w:bCs/>
              <w:color w:val="auto"/>
              <w:kern w:val="0"/>
              <w:lang w:val="fr-BE" w:eastAsia="ja-JP"/>
            </w:rPr>
            <w:tab/>
          </w:r>
          <w:r w:rsidR="00967917" w:rsidRPr="00B4237A">
            <w:rPr>
              <w:rFonts w:asciiTheme="majorHAnsi" w:eastAsiaTheme="majorEastAsia" w:hAnsiTheme="majorHAnsi" w:cstheme="majorBidi"/>
              <w:bCs/>
              <w:color w:val="auto"/>
              <w:kern w:val="0"/>
              <w:lang w:val="fr-BE" w:eastAsia="ja-JP"/>
            </w:rPr>
            <w:tab/>
          </w:r>
          <w:r w:rsidR="00967917" w:rsidRPr="00B4237A">
            <w:rPr>
              <w:rFonts w:asciiTheme="majorHAnsi" w:eastAsiaTheme="majorEastAsia" w:hAnsiTheme="majorHAnsi" w:cstheme="majorBidi"/>
              <w:bCs/>
              <w:color w:val="auto"/>
              <w:kern w:val="0"/>
              <w:lang w:val="fr-BE" w:eastAsia="ja-JP"/>
            </w:rPr>
            <w:tab/>
          </w:r>
          <w:r w:rsidR="00967917" w:rsidRPr="00B4237A">
            <w:rPr>
              <w:rFonts w:asciiTheme="majorHAnsi" w:eastAsiaTheme="majorEastAsia" w:hAnsiTheme="majorHAnsi" w:cstheme="majorBidi"/>
              <w:bCs/>
              <w:color w:val="auto"/>
              <w:kern w:val="0"/>
              <w:lang w:val="fr-BE" w:eastAsia="ja-JP"/>
            </w:rPr>
            <w:tab/>
          </w:r>
          <w:r w:rsidR="00967917" w:rsidRP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21</w:t>
          </w:r>
          <w:r w:rsidR="00967917" w:rsidRPr="00B4237A">
            <w:rPr>
              <w:rFonts w:asciiTheme="majorHAnsi" w:eastAsiaTheme="majorEastAsia" w:hAnsiTheme="majorHAnsi" w:cstheme="majorBidi"/>
              <w:bCs/>
              <w:color w:val="auto"/>
              <w:kern w:val="0"/>
              <w:lang w:val="fr-BE" w:eastAsia="ja-JP"/>
            </w:rPr>
            <w:tab/>
          </w:r>
        </w:p>
        <w:p w:rsidR="00B4237A" w:rsidRDefault="006720E6" w:rsidP="006720E6">
          <w:pPr>
            <w:rPr>
              <w:rFonts w:asciiTheme="majorHAnsi" w:eastAsiaTheme="majorEastAsia" w:hAnsiTheme="majorHAnsi" w:cstheme="majorBidi"/>
              <w:bCs/>
              <w:color w:val="auto"/>
              <w:kern w:val="0"/>
              <w:lang w:val="fr-BE" w:eastAsia="ja-JP"/>
            </w:rPr>
          </w:pPr>
          <w:r w:rsidRPr="00B4237A">
            <w:rPr>
              <w:rFonts w:asciiTheme="majorHAnsi" w:eastAsiaTheme="majorEastAsia" w:hAnsiTheme="majorHAnsi" w:cstheme="majorBidi"/>
              <w:bCs/>
              <w:color w:val="auto"/>
              <w:kern w:val="0"/>
              <w:lang w:val="fr-BE" w:eastAsia="ja-JP"/>
            </w:rPr>
            <w:tab/>
          </w:r>
          <w:r w:rsidR="009921BA" w:rsidRPr="00B4237A">
            <w:rPr>
              <w:rFonts w:asciiTheme="majorHAnsi" w:eastAsiaTheme="majorEastAsia" w:hAnsiTheme="majorHAnsi" w:cstheme="majorBidi"/>
              <w:bCs/>
              <w:color w:val="auto"/>
              <w:kern w:val="0"/>
              <w:lang w:val="fr-BE" w:eastAsia="ja-JP"/>
            </w:rPr>
            <w:t>Réaction des acteurs politiques et militaires et des think</w:t>
          </w:r>
          <w:r w:rsidR="00B4237A">
            <w:rPr>
              <w:rFonts w:asciiTheme="majorHAnsi" w:eastAsiaTheme="majorEastAsia" w:hAnsiTheme="majorHAnsi" w:cstheme="majorBidi"/>
              <w:bCs/>
              <w:color w:val="auto"/>
              <w:kern w:val="0"/>
              <w:lang w:val="fr-BE" w:eastAsia="ja-JP"/>
            </w:rPr>
            <w:t xml:space="preserve"> tanks </w:t>
          </w:r>
          <w:proofErr w:type="spellStart"/>
          <w:r w:rsidR="00B4237A">
            <w:rPr>
              <w:rFonts w:asciiTheme="majorHAnsi" w:eastAsiaTheme="majorEastAsia" w:hAnsiTheme="majorHAnsi" w:cstheme="majorBidi"/>
              <w:bCs/>
              <w:color w:val="auto"/>
              <w:kern w:val="0"/>
              <w:lang w:val="fr-BE" w:eastAsia="ja-JP"/>
            </w:rPr>
            <w:t>françai</w:t>
          </w:r>
          <w:proofErr w:type="spellEnd"/>
          <w:r w:rsidR="00B4237A">
            <w:rPr>
              <w:rFonts w:asciiTheme="majorHAnsi" w:eastAsiaTheme="majorEastAsia" w:hAnsiTheme="majorHAnsi" w:cstheme="majorBidi"/>
              <w:bCs/>
              <w:color w:val="auto"/>
              <w:kern w:val="0"/>
              <w:lang w:val="fr-BE" w:eastAsia="ja-JP"/>
            </w:rPr>
            <w:t xml:space="preserve"> en lien</w:t>
          </w:r>
          <w:r w:rsidR="00B4237A">
            <w:rPr>
              <w:rFonts w:asciiTheme="majorHAnsi" w:eastAsiaTheme="majorEastAsia" w:hAnsiTheme="majorHAnsi" w:cstheme="majorBidi"/>
              <w:bCs/>
              <w:color w:val="auto"/>
              <w:kern w:val="0"/>
              <w:lang w:val="fr-BE" w:eastAsia="ja-JP"/>
            </w:rPr>
            <w:tab/>
          </w:r>
          <w:r w:rsidR="00B4237A">
            <w:rPr>
              <w:rFonts w:asciiTheme="majorHAnsi" w:eastAsiaTheme="majorEastAsia" w:hAnsiTheme="majorHAnsi" w:cstheme="majorBidi"/>
              <w:bCs/>
              <w:color w:val="auto"/>
              <w:kern w:val="0"/>
              <w:lang w:val="fr-BE" w:eastAsia="ja-JP"/>
            </w:rPr>
            <w:tab/>
            <w:t>30</w:t>
          </w:r>
        </w:p>
        <w:p w:rsidR="00B4237A" w:rsidRPr="00B4237A" w:rsidRDefault="009921BA" w:rsidP="00B4237A">
          <w:pPr>
            <w:ind w:firstLine="720"/>
            <w:rPr>
              <w:rFonts w:asciiTheme="majorHAnsi" w:eastAsiaTheme="majorEastAsia" w:hAnsiTheme="majorHAnsi" w:cstheme="majorBidi"/>
              <w:bCs/>
              <w:color w:val="auto"/>
              <w:kern w:val="0"/>
              <w:lang w:val="fr-BE" w:eastAsia="ja-JP"/>
            </w:rPr>
          </w:pPr>
          <w:proofErr w:type="gramStart"/>
          <w:r w:rsidRPr="00B4237A">
            <w:rPr>
              <w:rFonts w:asciiTheme="majorHAnsi" w:eastAsiaTheme="majorEastAsia" w:hAnsiTheme="majorHAnsi" w:cstheme="majorBidi"/>
              <w:bCs/>
              <w:color w:val="auto"/>
              <w:kern w:val="0"/>
              <w:lang w:val="fr-BE" w:eastAsia="ja-JP"/>
            </w:rPr>
            <w:t>avec</w:t>
          </w:r>
          <w:proofErr w:type="gramEnd"/>
          <w:r w:rsidRPr="00B4237A">
            <w:rPr>
              <w:rFonts w:asciiTheme="majorHAnsi" w:eastAsiaTheme="majorEastAsia" w:hAnsiTheme="majorHAnsi" w:cstheme="majorBidi"/>
              <w:bCs/>
              <w:color w:val="auto"/>
              <w:kern w:val="0"/>
              <w:lang w:val="fr-BE" w:eastAsia="ja-JP"/>
            </w:rPr>
            <w:t xml:space="preserve"> la sécurité-défense européenne</w:t>
          </w:r>
          <w:r w:rsidR="00967917" w:rsidRPr="00B4237A">
            <w:rPr>
              <w:rFonts w:asciiTheme="majorHAnsi" w:eastAsiaTheme="majorEastAsia" w:hAnsiTheme="majorHAnsi" w:cstheme="majorBidi"/>
              <w:bCs/>
              <w:color w:val="auto"/>
              <w:kern w:val="0"/>
              <w:lang w:val="fr-BE" w:eastAsia="ja-JP"/>
            </w:rPr>
            <w:tab/>
          </w:r>
        </w:p>
        <w:p w:rsidR="00002D7C" w:rsidRDefault="00967917" w:rsidP="006720E6">
          <w:pPr>
            <w:rPr>
              <w:rFonts w:asciiTheme="majorHAnsi" w:eastAsiaTheme="majorEastAsia" w:hAnsiTheme="majorHAnsi" w:cstheme="majorBidi"/>
              <w:bCs/>
              <w:color w:val="auto"/>
              <w:kern w:val="0"/>
              <w:lang w:val="fr-BE" w:eastAsia="ja-JP"/>
            </w:rPr>
          </w:pP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Pr="00B4237A">
            <w:rPr>
              <w:rFonts w:asciiTheme="majorHAnsi" w:eastAsiaTheme="majorEastAsia" w:hAnsiTheme="majorHAnsi" w:cstheme="majorBidi"/>
              <w:bCs/>
              <w:color w:val="auto"/>
              <w:kern w:val="0"/>
              <w:lang w:val="fr-BE" w:eastAsia="ja-JP"/>
            </w:rPr>
            <w:tab/>
          </w:r>
          <w:r w:rsidR="005674B4">
            <w:rPr>
              <w:rFonts w:asciiTheme="majorHAnsi" w:eastAsiaTheme="majorEastAsia" w:hAnsiTheme="majorHAnsi" w:cstheme="majorBidi"/>
              <w:bCs/>
              <w:color w:val="auto"/>
              <w:kern w:val="0"/>
              <w:lang w:val="fr-BE" w:eastAsia="ja-JP"/>
            </w:rPr>
            <w:tab/>
          </w:r>
          <w:r w:rsidR="005674B4">
            <w:rPr>
              <w:rFonts w:asciiTheme="majorHAnsi" w:eastAsiaTheme="majorEastAsia" w:hAnsiTheme="majorHAnsi" w:cstheme="majorBidi"/>
              <w:bCs/>
              <w:color w:val="auto"/>
              <w:kern w:val="0"/>
              <w:lang w:val="fr-BE" w:eastAsia="ja-JP"/>
            </w:rPr>
            <w:tab/>
          </w:r>
        </w:p>
        <w:p w:rsidR="009921BA" w:rsidRPr="005674B4" w:rsidRDefault="009921BA" w:rsidP="006720E6">
          <w:pPr>
            <w:rPr>
              <w:rFonts w:asciiTheme="majorHAnsi" w:eastAsiaTheme="majorEastAsia" w:hAnsiTheme="majorHAnsi" w:cstheme="majorBidi"/>
              <w:b/>
              <w:bCs/>
              <w:color w:val="auto"/>
              <w:kern w:val="0"/>
              <w:lang w:val="fr-BE" w:eastAsia="ja-JP"/>
            </w:rPr>
          </w:pPr>
        </w:p>
        <w:p w:rsidR="009921BA" w:rsidRPr="00B4237A" w:rsidRDefault="009921BA" w:rsidP="006720E6">
          <w:pPr>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Conclusions</w:t>
          </w:r>
          <w:r w:rsidR="00967917" w:rsidRPr="00B4237A">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ab/>
            <w:t>34</w:t>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r w:rsidR="00967917" w:rsidRPr="00B4237A">
            <w:rPr>
              <w:rFonts w:asciiTheme="majorHAnsi" w:eastAsiaTheme="majorEastAsia" w:hAnsiTheme="majorHAnsi" w:cstheme="majorBidi"/>
              <w:b/>
              <w:bCs/>
              <w:color w:val="auto"/>
              <w:kern w:val="0"/>
              <w:lang w:val="fr-BE" w:eastAsia="ja-JP"/>
            </w:rPr>
            <w:tab/>
          </w:r>
        </w:p>
        <w:p w:rsidR="00967917" w:rsidRPr="00B4237A" w:rsidRDefault="00967917" w:rsidP="006720E6">
          <w:pPr>
            <w:rPr>
              <w:rFonts w:asciiTheme="majorHAnsi" w:eastAsiaTheme="majorEastAsia" w:hAnsiTheme="majorHAnsi" w:cstheme="majorBidi"/>
              <w:b/>
              <w:bCs/>
              <w:color w:val="auto"/>
              <w:kern w:val="0"/>
              <w:lang w:val="fr-BE" w:eastAsia="ja-JP"/>
            </w:rPr>
          </w:pPr>
        </w:p>
        <w:p w:rsidR="00B4237A" w:rsidRPr="00B4237A" w:rsidRDefault="009921BA"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Annexe 1 : Extrait du chapitre 5 du Livre blanc. Défense et sécurité internationale 2013</w:t>
          </w:r>
          <w:r w:rsidR="005674B4">
            <w:rPr>
              <w:rFonts w:asciiTheme="majorHAnsi" w:eastAsiaTheme="majorEastAsia" w:hAnsiTheme="majorHAnsi" w:cstheme="majorBidi"/>
              <w:b/>
              <w:bCs/>
              <w:color w:val="auto"/>
              <w:kern w:val="0"/>
              <w:lang w:val="fr-BE" w:eastAsia="ja-JP"/>
            </w:rPr>
            <w:tab/>
          </w:r>
          <w:r w:rsidR="00002D7C">
            <w:rPr>
              <w:rFonts w:asciiTheme="majorHAnsi" w:eastAsiaTheme="majorEastAsia" w:hAnsiTheme="majorHAnsi" w:cstheme="majorBidi"/>
              <w:b/>
              <w:bCs/>
              <w:color w:val="auto"/>
              <w:kern w:val="0"/>
              <w:lang w:val="fr-BE" w:eastAsia="ja-JP"/>
            </w:rPr>
            <w:t>40</w:t>
          </w:r>
        </w:p>
        <w:p w:rsidR="009921BA" w:rsidRPr="00B4237A" w:rsidRDefault="00967917"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p>
        <w:p w:rsidR="00B4237A" w:rsidRDefault="009921BA"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 xml:space="preserve">Annexe 2 : Discours de Laurent Fabius, ministre des affaires étrangères </w:t>
          </w:r>
        </w:p>
        <w:p w:rsidR="00B4237A" w:rsidRPr="00B4237A" w:rsidRDefault="009921BA"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 Comment relancer l’</w:t>
          </w:r>
          <w:proofErr w:type="spellStart"/>
          <w:r w:rsidRPr="00B4237A">
            <w:rPr>
              <w:rFonts w:asciiTheme="majorHAnsi" w:eastAsiaTheme="majorEastAsia" w:hAnsiTheme="majorHAnsi" w:cstheme="majorBidi"/>
              <w:b/>
              <w:bCs/>
              <w:color w:val="auto"/>
              <w:kern w:val="0"/>
              <w:lang w:val="fr-BE" w:eastAsia="ja-JP"/>
            </w:rPr>
            <w:t>europe</w:t>
          </w:r>
          <w:proofErr w:type="spellEnd"/>
          <w:r w:rsidRPr="00B4237A">
            <w:rPr>
              <w:rFonts w:asciiTheme="majorHAnsi" w:eastAsiaTheme="majorEastAsia" w:hAnsiTheme="majorHAnsi" w:cstheme="majorBidi"/>
              <w:b/>
              <w:bCs/>
              <w:color w:val="auto"/>
              <w:kern w:val="0"/>
              <w:lang w:val="fr-BE" w:eastAsia="ja-JP"/>
            </w:rPr>
            <w:t xml:space="preserve"> de la Défense ? »</w:t>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t>4</w:t>
          </w:r>
          <w:r w:rsidR="00002D7C">
            <w:rPr>
              <w:rFonts w:asciiTheme="majorHAnsi" w:eastAsiaTheme="majorEastAsia" w:hAnsiTheme="majorHAnsi" w:cstheme="majorBidi"/>
              <w:b/>
              <w:bCs/>
              <w:color w:val="auto"/>
              <w:kern w:val="0"/>
              <w:lang w:val="fr-BE" w:eastAsia="ja-JP"/>
            </w:rPr>
            <w:t>4</w:t>
          </w:r>
        </w:p>
        <w:p w:rsidR="009921BA" w:rsidRPr="00B4237A" w:rsidRDefault="00967917"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p>
        <w:p w:rsidR="00B4237A" w:rsidRDefault="009921BA"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Annexe 3 : Décret portant création de la commission du Livre blanc sur la défense</w:t>
          </w:r>
        </w:p>
        <w:p w:rsidR="00B4237A" w:rsidRPr="00B4237A" w:rsidRDefault="009921BA"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 xml:space="preserve"> </w:t>
          </w:r>
          <w:proofErr w:type="gramStart"/>
          <w:r w:rsidRPr="00B4237A">
            <w:rPr>
              <w:rFonts w:asciiTheme="majorHAnsi" w:eastAsiaTheme="majorEastAsia" w:hAnsiTheme="majorHAnsi" w:cstheme="majorBidi"/>
              <w:b/>
              <w:bCs/>
              <w:color w:val="auto"/>
              <w:kern w:val="0"/>
              <w:lang w:val="fr-BE" w:eastAsia="ja-JP"/>
            </w:rPr>
            <w:t>et</w:t>
          </w:r>
          <w:proofErr w:type="gramEnd"/>
          <w:r w:rsidRPr="00B4237A">
            <w:rPr>
              <w:rFonts w:asciiTheme="majorHAnsi" w:eastAsiaTheme="majorEastAsia" w:hAnsiTheme="majorHAnsi" w:cstheme="majorBidi"/>
              <w:b/>
              <w:bCs/>
              <w:color w:val="auto"/>
              <w:kern w:val="0"/>
              <w:lang w:val="fr-BE" w:eastAsia="ja-JP"/>
            </w:rPr>
            <w:t xml:space="preserve"> la sécurité nationale</w:t>
          </w:r>
          <w:r w:rsidR="00967917" w:rsidRPr="00B4237A">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t>47</w:t>
          </w:r>
        </w:p>
        <w:p w:rsidR="009921BA" w:rsidRPr="00B4237A" w:rsidRDefault="00967917"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p>
        <w:p w:rsidR="00B4237A" w:rsidRDefault="009921BA"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 xml:space="preserve">Annexe 4 : Programmes principaux en coopération figurant </w:t>
          </w:r>
          <w:r w:rsidR="005674B4">
            <w:rPr>
              <w:rFonts w:asciiTheme="majorHAnsi" w:eastAsiaTheme="majorEastAsia" w:hAnsiTheme="majorHAnsi" w:cstheme="majorBidi"/>
              <w:b/>
              <w:bCs/>
              <w:color w:val="auto"/>
              <w:kern w:val="0"/>
              <w:lang w:val="fr-BE" w:eastAsia="ja-JP"/>
            </w:rPr>
            <w:t>dans le tableau</w:t>
          </w:r>
        </w:p>
        <w:p w:rsidR="00B4237A" w:rsidRPr="00B4237A" w:rsidRDefault="009921BA" w:rsidP="00967917">
          <w:pPr>
            <w:jc w:val="both"/>
            <w:rPr>
              <w:rFonts w:asciiTheme="majorHAnsi" w:eastAsiaTheme="majorEastAsia" w:hAnsiTheme="majorHAnsi" w:cstheme="majorBidi"/>
              <w:b/>
              <w:bCs/>
              <w:color w:val="auto"/>
              <w:kern w:val="0"/>
              <w:lang w:val="fr-BE" w:eastAsia="ja-JP"/>
            </w:rPr>
          </w:pPr>
          <w:proofErr w:type="gramStart"/>
          <w:r w:rsidRPr="00B4237A">
            <w:rPr>
              <w:rFonts w:asciiTheme="majorHAnsi" w:eastAsiaTheme="majorEastAsia" w:hAnsiTheme="majorHAnsi" w:cstheme="majorBidi"/>
              <w:b/>
              <w:bCs/>
              <w:color w:val="auto"/>
              <w:kern w:val="0"/>
              <w:lang w:val="fr-BE" w:eastAsia="ja-JP"/>
            </w:rPr>
            <w:t>de</w:t>
          </w:r>
          <w:proofErr w:type="gramEnd"/>
          <w:r w:rsidRPr="00B4237A">
            <w:rPr>
              <w:rFonts w:asciiTheme="majorHAnsi" w:eastAsiaTheme="majorEastAsia" w:hAnsiTheme="majorHAnsi" w:cstheme="majorBidi"/>
              <w:b/>
              <w:bCs/>
              <w:color w:val="auto"/>
              <w:kern w:val="0"/>
              <w:lang w:val="fr-BE" w:eastAsia="ja-JP"/>
            </w:rPr>
            <w:t xml:space="preserve"> synthèse du rapport d’exécution 2011 de la loi de programmation militaire</w:t>
          </w:r>
          <w:r w:rsidR="00967917" w:rsidRPr="00B4237A">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t>49</w:t>
          </w:r>
        </w:p>
        <w:p w:rsidR="009921BA" w:rsidRPr="00B4237A" w:rsidRDefault="00967917"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p>
        <w:p w:rsidR="00B4237A" w:rsidRPr="00B4237A" w:rsidRDefault="009921BA"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Annexe 5 : Composition des équipes de la commission du Livre blanc 2013</w:t>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r>
          <w:r w:rsidR="005674B4">
            <w:rPr>
              <w:rFonts w:asciiTheme="majorHAnsi" w:eastAsiaTheme="majorEastAsia" w:hAnsiTheme="majorHAnsi" w:cstheme="majorBidi"/>
              <w:b/>
              <w:bCs/>
              <w:color w:val="auto"/>
              <w:kern w:val="0"/>
              <w:lang w:val="fr-BE" w:eastAsia="ja-JP"/>
            </w:rPr>
            <w:tab/>
            <w:t>5</w:t>
          </w:r>
          <w:r w:rsidR="00002D7C">
            <w:rPr>
              <w:rFonts w:asciiTheme="majorHAnsi" w:eastAsiaTheme="majorEastAsia" w:hAnsiTheme="majorHAnsi" w:cstheme="majorBidi"/>
              <w:b/>
              <w:bCs/>
              <w:color w:val="auto"/>
              <w:kern w:val="0"/>
              <w:lang w:val="fr-BE" w:eastAsia="ja-JP"/>
            </w:rPr>
            <w:t>2</w:t>
          </w:r>
        </w:p>
        <w:p w:rsidR="006720E6" w:rsidRPr="00B4237A" w:rsidRDefault="00967917" w:rsidP="00967917">
          <w:pPr>
            <w:jc w:val="both"/>
            <w:rPr>
              <w:rFonts w:asciiTheme="majorHAnsi" w:eastAsiaTheme="majorEastAsia" w:hAnsiTheme="majorHAnsi" w:cstheme="majorBidi"/>
              <w:b/>
              <w:bCs/>
              <w:color w:val="auto"/>
              <w:kern w:val="0"/>
              <w:lang w:val="fr-BE" w:eastAsia="ja-JP"/>
            </w:rPr>
          </w:pP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r w:rsidRPr="00B4237A">
            <w:rPr>
              <w:rFonts w:asciiTheme="majorHAnsi" w:eastAsiaTheme="majorEastAsia" w:hAnsiTheme="majorHAnsi" w:cstheme="majorBidi"/>
              <w:b/>
              <w:bCs/>
              <w:color w:val="auto"/>
              <w:kern w:val="0"/>
              <w:lang w:val="fr-BE" w:eastAsia="ja-JP"/>
            </w:rPr>
            <w:tab/>
          </w:r>
        </w:p>
      </w:sdtContent>
    </w:sdt>
    <w:p w:rsidR="005253AE" w:rsidRPr="00A32CCC" w:rsidRDefault="005253AE" w:rsidP="006A448F">
      <w:pPr>
        <w:spacing w:line="260" w:lineRule="exact"/>
        <w:ind w:left="2200"/>
        <w:jc w:val="both"/>
        <w:rPr>
          <w:sz w:val="24"/>
          <w:szCs w:val="24"/>
          <w:lang w:val="fr-BE"/>
        </w:rPr>
      </w:pPr>
      <w:r w:rsidRPr="00A32CCC">
        <w:rPr>
          <w:sz w:val="24"/>
          <w:szCs w:val="24"/>
          <w:lang w:val="fr-BE"/>
        </w:rPr>
        <w:tab/>
      </w:r>
    </w:p>
    <w:p w:rsidR="006720E6" w:rsidRDefault="006720E6" w:rsidP="00360B46">
      <w:pPr>
        <w:spacing w:after="360"/>
        <w:ind w:left="720"/>
        <w:rPr>
          <w:lang w:val="fr-BE"/>
        </w:rPr>
      </w:pPr>
    </w:p>
    <w:p w:rsidR="006720E6" w:rsidRDefault="006720E6">
      <w:pPr>
        <w:rPr>
          <w:lang w:val="fr-BE"/>
        </w:rPr>
      </w:pPr>
      <w:r>
        <w:rPr>
          <w:lang w:val="fr-BE"/>
        </w:rPr>
        <w:br w:type="page"/>
      </w:r>
    </w:p>
    <w:p w:rsidR="00360B46" w:rsidRPr="00A32CCC" w:rsidRDefault="00555B11" w:rsidP="00360B46">
      <w:pPr>
        <w:spacing w:after="360"/>
        <w:ind w:left="720"/>
        <w:rPr>
          <w:lang w:val="fr-BE"/>
        </w:rPr>
      </w:pPr>
      <w:r w:rsidRPr="00A32CCC">
        <w:rPr>
          <w:lang w:val="fr-BE"/>
        </w:rPr>
        <w:lastRenderedPageBreak/>
        <w:br w:type="page"/>
      </w:r>
    </w:p>
    <w:p w:rsidR="00B00A29" w:rsidRPr="00B00A29" w:rsidRDefault="00603254" w:rsidP="00B00A29">
      <w:pPr>
        <w:ind w:left="851"/>
        <w:rPr>
          <w:rFonts w:ascii="Century Schoolbook" w:hAnsi="Century Schoolbook"/>
          <w:b/>
          <w:color w:val="1F497D"/>
          <w:sz w:val="48"/>
          <w:szCs w:val="48"/>
          <w:lang w:val="fr-BE"/>
        </w:rPr>
      </w:pPr>
      <w:r w:rsidRPr="00603254">
        <w:rPr>
          <w:rFonts w:ascii="Century Schoolbook" w:hAnsi="Century Schoolbook"/>
          <w:b/>
          <w:noProof/>
          <w:color w:val="1F497D"/>
          <w:sz w:val="48"/>
          <w:szCs w:val="48"/>
        </w:rPr>
        <w:lastRenderedPageBreak/>
        <w:pict>
          <v:rect id="_x0000_s1046" style="position:absolute;left:0;text-align:left;margin-left:-2.55pt;margin-top:-38.95pt;width:36pt;height:63pt;z-index:2518056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" fillcolor="#1f497d" stroked="f" strokeweight="0" insetpen="t">
            <v:shadow color="#ccc"/>
            <v:textbox inset="2.88pt,2.88pt,2.88pt,2.88pt"/>
          </v:rect>
        </w:pict>
      </w:r>
      <w:r w:rsidR="00B00A29" w:rsidRPr="00B00A29">
        <w:rPr>
          <w:rFonts w:ascii="Century Schoolbook" w:hAnsi="Century Schoolbook"/>
          <w:b/>
          <w:color w:val="1F497D"/>
          <w:sz w:val="48"/>
          <w:szCs w:val="48"/>
          <w:lang w:val="fr-BE"/>
        </w:rPr>
        <w:t>Abréviations et acronymes</w:t>
      </w:r>
    </w:p>
    <w:p w:rsidR="009E0F2C" w:rsidRDefault="009E0F2C" w:rsidP="00B00A29">
      <w:pPr>
        <w:rPr>
          <w:rFonts w:asciiTheme="minorHAnsi" w:hAnsiTheme="minorHAnsi" w:cstheme="minorHAnsi"/>
          <w:sz w:val="22"/>
          <w:lang w:val="fr-FR"/>
        </w:rPr>
      </w:pP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AE</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Affaires étrangères</w:t>
      </w:r>
    </w:p>
    <w:p w:rsidR="00B00A29" w:rsidRPr="009E0F2C" w:rsidRDefault="00B00A29" w:rsidP="00B00A29">
      <w:pPr>
        <w:rPr>
          <w:rFonts w:asciiTheme="minorHAnsi" w:hAnsiTheme="minorHAnsi" w:cstheme="minorHAnsi"/>
          <w:sz w:val="18"/>
          <w:szCs w:val="18"/>
          <w:lang w:val="fr-BE"/>
        </w:rPr>
      </w:pPr>
      <w:r w:rsidRPr="009E0F2C">
        <w:rPr>
          <w:rFonts w:asciiTheme="minorHAnsi" w:hAnsiTheme="minorHAnsi" w:cstheme="minorHAnsi"/>
          <w:sz w:val="18"/>
          <w:szCs w:val="18"/>
          <w:lang w:val="fr-FR"/>
        </w:rPr>
        <w:t>AED</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Agence européenne de défense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ALL</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Allemagne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BITD</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Base industrielle et technologie de défense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CED</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Communauté européenne de défense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CESD</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Centre d’études de sécurité et défense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CREC</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 xml:space="preserve">Centre de recherche des écoles de Saint-Cyr </w:t>
      </w:r>
      <w:proofErr w:type="spellStart"/>
      <w:r w:rsidRPr="009E0F2C">
        <w:rPr>
          <w:rFonts w:asciiTheme="minorHAnsi" w:hAnsiTheme="minorHAnsi" w:cstheme="minorHAnsi"/>
          <w:sz w:val="18"/>
          <w:szCs w:val="18"/>
          <w:lang w:val="fr-FR"/>
        </w:rPr>
        <w:t>Coëtquidan</w:t>
      </w:r>
      <w:proofErr w:type="spellEnd"/>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CSP</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Coopération structurée permanente</w:t>
      </w:r>
    </w:p>
    <w:p w:rsidR="000C466F" w:rsidRPr="009E0F2C" w:rsidRDefault="000C466F"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EATC</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European Air Transport Command</w:t>
      </w:r>
    </w:p>
    <w:p w:rsidR="00B00A29" w:rsidRPr="00BB1B5C" w:rsidRDefault="00B00A29" w:rsidP="00B00A29">
      <w:pPr>
        <w:rPr>
          <w:rFonts w:asciiTheme="minorHAnsi" w:hAnsiTheme="minorHAnsi" w:cstheme="minorHAnsi"/>
          <w:sz w:val="18"/>
          <w:szCs w:val="18"/>
        </w:rPr>
      </w:pPr>
      <w:r w:rsidRPr="00BB1B5C">
        <w:rPr>
          <w:rFonts w:asciiTheme="minorHAnsi" w:hAnsiTheme="minorHAnsi" w:cstheme="minorHAnsi"/>
          <w:sz w:val="18"/>
          <w:szCs w:val="18"/>
        </w:rPr>
        <w:t>ESP</w:t>
      </w:r>
      <w:r w:rsidRPr="00BB1B5C">
        <w:rPr>
          <w:rFonts w:asciiTheme="minorHAnsi" w:hAnsiTheme="minorHAnsi" w:cstheme="minorHAnsi"/>
          <w:sz w:val="18"/>
          <w:szCs w:val="18"/>
        </w:rPr>
        <w:tab/>
      </w:r>
      <w:r w:rsidRPr="00BB1B5C">
        <w:rPr>
          <w:rFonts w:asciiTheme="minorHAnsi" w:hAnsiTheme="minorHAnsi" w:cstheme="minorHAnsi"/>
          <w:sz w:val="18"/>
          <w:szCs w:val="18"/>
        </w:rPr>
        <w:tab/>
      </w:r>
      <w:r w:rsidRPr="00BB1B5C">
        <w:rPr>
          <w:rFonts w:asciiTheme="minorHAnsi" w:hAnsiTheme="minorHAnsi" w:cstheme="minorHAnsi"/>
          <w:sz w:val="18"/>
          <w:szCs w:val="18"/>
        </w:rPr>
        <w:tab/>
      </w:r>
      <w:r w:rsidRPr="00BB1B5C">
        <w:rPr>
          <w:rFonts w:asciiTheme="minorHAnsi" w:hAnsiTheme="minorHAnsi" w:cstheme="minorHAnsi"/>
          <w:sz w:val="18"/>
          <w:szCs w:val="18"/>
        </w:rPr>
        <w:tab/>
      </w:r>
      <w:proofErr w:type="spellStart"/>
      <w:r w:rsidRPr="00BB1B5C">
        <w:rPr>
          <w:rFonts w:asciiTheme="minorHAnsi" w:hAnsiTheme="minorHAnsi" w:cstheme="minorHAnsi"/>
          <w:sz w:val="18"/>
          <w:szCs w:val="18"/>
        </w:rPr>
        <w:t>Espagne</w:t>
      </w:r>
      <w:proofErr w:type="spellEnd"/>
    </w:p>
    <w:p w:rsidR="00B00A29" w:rsidRPr="009E0F2C" w:rsidRDefault="00B00A29" w:rsidP="00B00A29">
      <w:pPr>
        <w:rPr>
          <w:rFonts w:asciiTheme="minorHAnsi" w:hAnsiTheme="minorHAnsi" w:cstheme="minorHAnsi"/>
          <w:sz w:val="18"/>
          <w:szCs w:val="18"/>
        </w:rPr>
      </w:pPr>
      <w:r w:rsidRPr="009E0F2C">
        <w:rPr>
          <w:rFonts w:asciiTheme="minorHAnsi" w:hAnsiTheme="minorHAnsi" w:cstheme="minorHAnsi"/>
          <w:sz w:val="18"/>
          <w:szCs w:val="18"/>
          <w:lang w:val="en-GB"/>
        </w:rPr>
        <w:t>EUISS</w:t>
      </w:r>
      <w:r w:rsidRPr="009E0F2C">
        <w:rPr>
          <w:rFonts w:asciiTheme="minorHAnsi" w:hAnsiTheme="minorHAnsi" w:cstheme="minorHAnsi"/>
          <w:sz w:val="18"/>
          <w:szCs w:val="18"/>
          <w:lang w:val="en-GB"/>
        </w:rPr>
        <w:tab/>
      </w:r>
      <w:r w:rsidRPr="009E0F2C">
        <w:rPr>
          <w:rFonts w:asciiTheme="minorHAnsi" w:hAnsiTheme="minorHAnsi" w:cstheme="minorHAnsi"/>
          <w:sz w:val="18"/>
          <w:szCs w:val="18"/>
          <w:lang w:val="en-GB"/>
        </w:rPr>
        <w:tab/>
      </w:r>
      <w:r w:rsidRPr="009E0F2C">
        <w:rPr>
          <w:rFonts w:asciiTheme="minorHAnsi" w:hAnsiTheme="minorHAnsi" w:cstheme="minorHAnsi"/>
          <w:sz w:val="18"/>
          <w:szCs w:val="18"/>
          <w:lang w:val="en-GB"/>
        </w:rPr>
        <w:tab/>
      </w:r>
      <w:r w:rsidRPr="009E0F2C">
        <w:rPr>
          <w:rFonts w:asciiTheme="minorHAnsi" w:hAnsiTheme="minorHAnsi" w:cstheme="minorHAnsi"/>
          <w:sz w:val="18"/>
          <w:szCs w:val="18"/>
          <w:lang w:val="en-GB"/>
        </w:rPr>
        <w:tab/>
        <w:t>European Union Institute for Security Studies</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FR</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France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FRS</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Fondation pour la recherche stratégique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DGA</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Direction générale de l’armement</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DN</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Défense nationale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DSI</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Défense &amp; sécurité internationale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FIRI</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Force interarmées de réaction immédiate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FREMM</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002A31BD"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 xml:space="preserve">Frégate française </w:t>
      </w:r>
      <w:proofErr w:type="spellStart"/>
      <w:r w:rsidRPr="009E0F2C">
        <w:rPr>
          <w:rFonts w:asciiTheme="minorHAnsi" w:hAnsiTheme="minorHAnsi" w:cstheme="minorHAnsi"/>
          <w:sz w:val="18"/>
          <w:szCs w:val="18"/>
          <w:lang w:val="fr-FR"/>
        </w:rPr>
        <w:t>multimission</w:t>
      </w:r>
      <w:proofErr w:type="spellEnd"/>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GT</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Groupe de travail</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IESUE</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Institut d’études de sécurité de l’Union européenne</w:t>
      </w:r>
    </w:p>
    <w:p w:rsidR="000C466F" w:rsidRPr="009E0F2C" w:rsidRDefault="000C466F"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IFOP</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Institut français d’opinion publique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IFRI</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Institut français de relations internationales</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IHEDN</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Institut des hautes études de défense nationale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IRIS</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Institut des relations internationales et stratégiques</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IRSD</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Institut royal supérieur de défense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IRSEM</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Institut de recherche stratégique de l’École militaire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IT</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000C466F" w:rsidRPr="009E0F2C">
        <w:rPr>
          <w:rFonts w:asciiTheme="minorHAnsi" w:hAnsiTheme="minorHAnsi" w:cstheme="minorHAnsi"/>
          <w:sz w:val="18"/>
          <w:szCs w:val="18"/>
          <w:lang w:val="fr-FR"/>
        </w:rPr>
        <w:t>Italie</w:t>
      </w:r>
    </w:p>
    <w:p w:rsidR="000C466F" w:rsidRPr="009E0F2C" w:rsidRDefault="000C466F"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LMP</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Loi de programmation militaire</w:t>
      </w:r>
    </w:p>
    <w:p w:rsidR="00B00A29" w:rsidRPr="009E0F2C" w:rsidRDefault="00B00A29" w:rsidP="00B00A29">
      <w:pPr>
        <w:rPr>
          <w:rFonts w:asciiTheme="minorHAnsi" w:hAnsiTheme="minorHAnsi" w:cstheme="minorHAnsi"/>
          <w:sz w:val="18"/>
          <w:szCs w:val="18"/>
          <w:lang w:val="fr-FR"/>
        </w:rPr>
      </w:pPr>
      <w:proofErr w:type="spellStart"/>
      <w:r w:rsidRPr="009E0F2C">
        <w:rPr>
          <w:rFonts w:asciiTheme="minorHAnsi" w:hAnsiTheme="minorHAnsi" w:cstheme="minorHAnsi"/>
          <w:sz w:val="18"/>
          <w:szCs w:val="18"/>
          <w:lang w:val="fr-FR"/>
        </w:rPr>
        <w:t>LoI</w:t>
      </w:r>
      <w:proofErr w:type="spellEnd"/>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proofErr w:type="spellStart"/>
      <w:r w:rsidRPr="009E0F2C">
        <w:rPr>
          <w:rFonts w:asciiTheme="minorHAnsi" w:hAnsiTheme="minorHAnsi" w:cstheme="minorHAnsi"/>
          <w:sz w:val="18"/>
          <w:szCs w:val="18"/>
          <w:lang w:val="fr-FR"/>
        </w:rPr>
        <w:t>Letter</w:t>
      </w:r>
      <w:proofErr w:type="spellEnd"/>
      <w:r w:rsidRPr="009E0F2C">
        <w:rPr>
          <w:rFonts w:asciiTheme="minorHAnsi" w:hAnsiTheme="minorHAnsi" w:cstheme="minorHAnsi"/>
          <w:sz w:val="18"/>
          <w:szCs w:val="18"/>
          <w:lang w:val="fr-FR"/>
        </w:rPr>
        <w:t xml:space="preserve"> of </w:t>
      </w:r>
      <w:proofErr w:type="spellStart"/>
      <w:r w:rsidRPr="009E0F2C">
        <w:rPr>
          <w:rFonts w:asciiTheme="minorHAnsi" w:hAnsiTheme="minorHAnsi" w:cstheme="minorHAnsi"/>
          <w:sz w:val="18"/>
          <w:szCs w:val="18"/>
          <w:lang w:val="fr-FR"/>
        </w:rPr>
        <w:t>Intent</w:t>
      </w:r>
      <w:proofErr w:type="spellEnd"/>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LRU</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Lance-roquettes unitaire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MEC</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Mission d’évaluation et de contrôle</w:t>
      </w:r>
    </w:p>
    <w:p w:rsidR="00B00A29" w:rsidRPr="009E0F2C" w:rsidRDefault="00B00A29" w:rsidP="00B00A29">
      <w:pPr>
        <w:rPr>
          <w:rFonts w:asciiTheme="minorHAnsi" w:hAnsiTheme="minorHAnsi" w:cstheme="minorHAnsi"/>
          <w:sz w:val="18"/>
          <w:szCs w:val="18"/>
          <w:lang w:val="fr-BE"/>
        </w:rPr>
      </w:pPr>
      <w:r w:rsidRPr="009E0F2C">
        <w:rPr>
          <w:rFonts w:asciiTheme="minorHAnsi" w:hAnsiTheme="minorHAnsi" w:cstheme="minorHAnsi"/>
          <w:sz w:val="18"/>
          <w:szCs w:val="18"/>
          <w:lang w:val="fr-FR"/>
        </w:rPr>
        <w:t>MIDE</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Missile d’interception à domaine élargi</w:t>
      </w:r>
    </w:p>
    <w:p w:rsidR="00B00A29" w:rsidRPr="009E0F2C" w:rsidRDefault="00B00A29" w:rsidP="00B00A29">
      <w:pPr>
        <w:rPr>
          <w:rFonts w:asciiTheme="minorHAnsi" w:hAnsiTheme="minorHAnsi" w:cstheme="minorHAnsi"/>
          <w:sz w:val="18"/>
          <w:szCs w:val="18"/>
          <w:lang w:val="en-GB"/>
        </w:rPr>
      </w:pPr>
      <w:r w:rsidRPr="009E0F2C">
        <w:rPr>
          <w:rFonts w:asciiTheme="minorHAnsi" w:hAnsiTheme="minorHAnsi" w:cstheme="minorHAnsi"/>
          <w:sz w:val="18"/>
          <w:szCs w:val="18"/>
          <w:lang w:val="en-GB"/>
        </w:rPr>
        <w:t>MLRS</w:t>
      </w:r>
      <w:r w:rsidRPr="009E0F2C">
        <w:rPr>
          <w:rFonts w:asciiTheme="minorHAnsi" w:hAnsiTheme="minorHAnsi" w:cstheme="minorHAnsi"/>
          <w:sz w:val="18"/>
          <w:szCs w:val="18"/>
          <w:lang w:val="en-GB"/>
        </w:rPr>
        <w:tab/>
      </w:r>
      <w:r w:rsidRPr="009E0F2C">
        <w:rPr>
          <w:rFonts w:asciiTheme="minorHAnsi" w:hAnsiTheme="minorHAnsi" w:cstheme="minorHAnsi"/>
          <w:sz w:val="18"/>
          <w:szCs w:val="18"/>
          <w:lang w:val="en-GB"/>
        </w:rPr>
        <w:tab/>
      </w:r>
      <w:r w:rsidRPr="009E0F2C">
        <w:rPr>
          <w:rFonts w:asciiTheme="minorHAnsi" w:hAnsiTheme="minorHAnsi" w:cstheme="minorHAnsi"/>
          <w:sz w:val="18"/>
          <w:szCs w:val="18"/>
          <w:lang w:val="en-GB"/>
        </w:rPr>
        <w:tab/>
      </w:r>
      <w:r w:rsidRPr="009E0F2C">
        <w:rPr>
          <w:rFonts w:asciiTheme="minorHAnsi" w:hAnsiTheme="minorHAnsi" w:cstheme="minorHAnsi"/>
          <w:sz w:val="18"/>
          <w:szCs w:val="18"/>
          <w:lang w:val="en-GB"/>
        </w:rPr>
        <w:tab/>
        <w:t>Multiple Launch Rocket System</w:t>
      </w:r>
    </w:p>
    <w:p w:rsidR="00B00A29" w:rsidRPr="009E0F2C" w:rsidRDefault="00B00A29" w:rsidP="000C466F">
      <w:pPr>
        <w:ind w:left="2880" w:hanging="2880"/>
        <w:rPr>
          <w:rFonts w:asciiTheme="minorHAnsi" w:hAnsiTheme="minorHAnsi" w:cstheme="minorHAnsi"/>
          <w:sz w:val="18"/>
          <w:szCs w:val="18"/>
        </w:rPr>
      </w:pPr>
      <w:r w:rsidRPr="009E0F2C">
        <w:rPr>
          <w:rFonts w:asciiTheme="minorHAnsi" w:hAnsiTheme="minorHAnsi" w:cstheme="minorHAnsi"/>
          <w:sz w:val="18"/>
          <w:szCs w:val="18"/>
          <w:lang w:val="en-GB"/>
        </w:rPr>
        <w:t>MUSIS</w:t>
      </w:r>
      <w:r w:rsidRPr="009E0F2C">
        <w:rPr>
          <w:rFonts w:asciiTheme="minorHAnsi" w:hAnsiTheme="minorHAnsi" w:cstheme="minorHAnsi"/>
          <w:sz w:val="18"/>
          <w:szCs w:val="18"/>
          <w:lang w:val="en-GB"/>
        </w:rPr>
        <w:tab/>
      </w:r>
      <w:r w:rsidRPr="009E0F2C">
        <w:rPr>
          <w:rStyle w:val="st"/>
          <w:rFonts w:asciiTheme="minorHAnsi" w:hAnsiTheme="minorHAnsi" w:cstheme="minorHAnsi"/>
          <w:color w:val="222222"/>
          <w:sz w:val="18"/>
          <w:szCs w:val="18"/>
          <w:lang w:val="en-GB"/>
        </w:rPr>
        <w:t>Multinational Space-based Imaging System for Surveillance, Reconnaissance and Observation</w:t>
      </w:r>
    </w:p>
    <w:p w:rsidR="00B00A29" w:rsidRPr="00BB1B5C" w:rsidRDefault="00B00A29" w:rsidP="00B00A29">
      <w:pPr>
        <w:rPr>
          <w:rStyle w:val="st"/>
          <w:rFonts w:asciiTheme="minorHAnsi" w:hAnsiTheme="minorHAnsi" w:cstheme="minorHAnsi"/>
          <w:color w:val="222222"/>
          <w:sz w:val="18"/>
          <w:szCs w:val="18"/>
          <w:lang w:val="fr-BE"/>
        </w:rPr>
      </w:pPr>
      <w:r w:rsidRPr="00BB1B5C">
        <w:rPr>
          <w:rFonts w:asciiTheme="minorHAnsi" w:hAnsiTheme="minorHAnsi" w:cstheme="minorHAnsi"/>
          <w:sz w:val="18"/>
          <w:szCs w:val="18"/>
          <w:lang w:val="fr-BE"/>
        </w:rPr>
        <w:t>NATO</w:t>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proofErr w:type="spellStart"/>
      <w:r w:rsidRPr="00BB1B5C">
        <w:rPr>
          <w:rStyle w:val="st"/>
          <w:rFonts w:asciiTheme="minorHAnsi" w:hAnsiTheme="minorHAnsi" w:cstheme="minorHAnsi"/>
          <w:color w:val="222222"/>
          <w:sz w:val="18"/>
          <w:szCs w:val="18"/>
          <w:lang w:val="fr-BE"/>
        </w:rPr>
        <w:t>North</w:t>
      </w:r>
      <w:proofErr w:type="spellEnd"/>
      <w:r w:rsidRPr="00BB1B5C">
        <w:rPr>
          <w:rStyle w:val="st"/>
          <w:rFonts w:asciiTheme="minorHAnsi" w:hAnsiTheme="minorHAnsi" w:cstheme="minorHAnsi"/>
          <w:color w:val="222222"/>
          <w:sz w:val="18"/>
          <w:szCs w:val="18"/>
          <w:lang w:val="fr-BE"/>
        </w:rPr>
        <w:t xml:space="preserve"> Atlantic </w:t>
      </w:r>
      <w:proofErr w:type="spellStart"/>
      <w:r w:rsidRPr="00BB1B5C">
        <w:rPr>
          <w:rStyle w:val="st"/>
          <w:rFonts w:asciiTheme="minorHAnsi" w:hAnsiTheme="minorHAnsi" w:cstheme="minorHAnsi"/>
          <w:color w:val="222222"/>
          <w:sz w:val="18"/>
          <w:szCs w:val="18"/>
          <w:lang w:val="fr-BE"/>
        </w:rPr>
        <w:t>Treaty</w:t>
      </w:r>
      <w:proofErr w:type="spellEnd"/>
      <w:r w:rsidRPr="00BB1B5C">
        <w:rPr>
          <w:rStyle w:val="st"/>
          <w:rFonts w:asciiTheme="minorHAnsi" w:hAnsiTheme="minorHAnsi" w:cstheme="minorHAnsi"/>
          <w:color w:val="222222"/>
          <w:sz w:val="18"/>
          <w:szCs w:val="18"/>
          <w:lang w:val="fr-BE"/>
        </w:rPr>
        <w:t xml:space="preserve"> </w:t>
      </w:r>
      <w:proofErr w:type="spellStart"/>
      <w:r w:rsidRPr="00BB1B5C">
        <w:rPr>
          <w:rStyle w:val="st"/>
          <w:rFonts w:asciiTheme="minorHAnsi" w:hAnsiTheme="minorHAnsi" w:cstheme="minorHAnsi"/>
          <w:color w:val="222222"/>
          <w:sz w:val="18"/>
          <w:szCs w:val="18"/>
          <w:lang w:val="fr-BE"/>
        </w:rPr>
        <w:t>Organization</w:t>
      </w:r>
      <w:proofErr w:type="spellEnd"/>
    </w:p>
    <w:p w:rsidR="005830EC" w:rsidRPr="009E0F2C" w:rsidRDefault="005830EC" w:rsidP="00B00A29">
      <w:pPr>
        <w:rPr>
          <w:rFonts w:asciiTheme="minorHAnsi" w:hAnsiTheme="minorHAnsi" w:cstheme="minorHAnsi"/>
          <w:sz w:val="18"/>
          <w:szCs w:val="18"/>
          <w:lang w:val="fr-BE"/>
        </w:rPr>
      </w:pPr>
      <w:r w:rsidRPr="009E0F2C">
        <w:rPr>
          <w:rStyle w:val="st"/>
          <w:rFonts w:asciiTheme="minorHAnsi" w:hAnsiTheme="minorHAnsi" w:cstheme="minorHAnsi"/>
          <w:color w:val="222222"/>
          <w:sz w:val="18"/>
          <w:szCs w:val="18"/>
          <w:lang w:val="fr-BE"/>
        </w:rPr>
        <w:t>NRBC-E</w:t>
      </w:r>
      <w:r w:rsidRPr="009E0F2C">
        <w:rPr>
          <w:rStyle w:val="st"/>
          <w:rFonts w:asciiTheme="minorHAnsi" w:hAnsiTheme="minorHAnsi" w:cstheme="minorHAnsi"/>
          <w:color w:val="222222"/>
          <w:sz w:val="18"/>
          <w:szCs w:val="18"/>
          <w:lang w:val="fr-BE"/>
        </w:rPr>
        <w:tab/>
      </w:r>
      <w:r w:rsidRPr="009E0F2C">
        <w:rPr>
          <w:rStyle w:val="st"/>
          <w:rFonts w:asciiTheme="minorHAnsi" w:hAnsiTheme="minorHAnsi" w:cstheme="minorHAnsi"/>
          <w:color w:val="222222"/>
          <w:sz w:val="18"/>
          <w:szCs w:val="18"/>
          <w:lang w:val="fr-BE"/>
        </w:rPr>
        <w:tab/>
      </w:r>
      <w:r w:rsidRPr="009E0F2C">
        <w:rPr>
          <w:rStyle w:val="st"/>
          <w:rFonts w:asciiTheme="minorHAnsi" w:hAnsiTheme="minorHAnsi" w:cstheme="minorHAnsi"/>
          <w:color w:val="222222"/>
          <w:sz w:val="18"/>
          <w:szCs w:val="18"/>
          <w:lang w:val="fr-BE"/>
        </w:rPr>
        <w:tab/>
      </w:r>
      <w:r w:rsidRPr="009E0F2C">
        <w:rPr>
          <w:rStyle w:val="st"/>
          <w:rFonts w:asciiTheme="minorHAnsi" w:hAnsiTheme="minorHAnsi" w:cstheme="minorHAnsi"/>
          <w:color w:val="222222"/>
          <w:sz w:val="18"/>
          <w:szCs w:val="18"/>
          <w:lang w:val="fr-BE"/>
        </w:rPr>
        <w:tab/>
        <w:t>Nucléaire, radiologique, biologique, chimique et explosive</w:t>
      </w:r>
    </w:p>
    <w:p w:rsidR="00B00A29" w:rsidRPr="00BB1B5C" w:rsidRDefault="00B00A29" w:rsidP="00B00A29">
      <w:pPr>
        <w:rPr>
          <w:rFonts w:asciiTheme="minorHAnsi" w:hAnsiTheme="minorHAnsi" w:cstheme="minorHAnsi"/>
          <w:sz w:val="18"/>
          <w:szCs w:val="18"/>
          <w:lang w:val="fr-BE"/>
        </w:rPr>
      </w:pPr>
      <w:r w:rsidRPr="00BB1B5C">
        <w:rPr>
          <w:rFonts w:asciiTheme="minorHAnsi" w:hAnsiTheme="minorHAnsi" w:cstheme="minorHAnsi"/>
          <w:sz w:val="18"/>
          <w:szCs w:val="18"/>
          <w:lang w:val="fr-BE"/>
        </w:rPr>
        <w:t>OCCAR</w:t>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t>Organisation conjointe de coopération en matière d’armement</w:t>
      </w:r>
    </w:p>
    <w:p w:rsidR="00B00A29" w:rsidRPr="009E0F2C" w:rsidRDefault="00B00A29" w:rsidP="00B00A29">
      <w:pPr>
        <w:rPr>
          <w:rFonts w:asciiTheme="minorHAnsi" w:hAnsiTheme="minorHAnsi" w:cstheme="minorHAnsi"/>
          <w:sz w:val="18"/>
          <w:szCs w:val="18"/>
          <w:lang w:val="fr-FR"/>
        </w:rPr>
      </w:pPr>
      <w:r w:rsidRPr="00BB1B5C">
        <w:rPr>
          <w:rFonts w:asciiTheme="minorHAnsi" w:hAnsiTheme="minorHAnsi" w:cstheme="minorHAnsi"/>
          <w:sz w:val="18"/>
          <w:szCs w:val="18"/>
          <w:lang w:val="fr-BE"/>
        </w:rPr>
        <w:t>ONU</w:t>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r w:rsidRPr="00BB1B5C">
        <w:rPr>
          <w:rFonts w:asciiTheme="minorHAnsi" w:hAnsiTheme="minorHAnsi" w:cstheme="minorHAnsi"/>
          <w:sz w:val="18"/>
          <w:szCs w:val="18"/>
          <w:lang w:val="fr-BE"/>
        </w:rPr>
        <w:tab/>
      </w:r>
      <w:proofErr w:type="spellStart"/>
      <w:r w:rsidRPr="00BB1B5C">
        <w:rPr>
          <w:rFonts w:asciiTheme="minorHAnsi" w:hAnsiTheme="minorHAnsi" w:cstheme="minorHAnsi"/>
          <w:sz w:val="18"/>
          <w:szCs w:val="18"/>
          <w:lang w:val="fr-BE"/>
        </w:rPr>
        <w:t>Organisat</w:t>
      </w:r>
      <w:proofErr w:type="spellEnd"/>
      <w:r w:rsidRPr="009E0F2C">
        <w:rPr>
          <w:rFonts w:asciiTheme="minorHAnsi" w:hAnsiTheme="minorHAnsi" w:cstheme="minorHAnsi"/>
          <w:sz w:val="18"/>
          <w:szCs w:val="18"/>
          <w:lang w:val="fr-FR"/>
        </w:rPr>
        <w:t>ion des Nations unies</w:t>
      </w:r>
    </w:p>
    <w:p w:rsidR="005830EC" w:rsidRPr="009E0F2C" w:rsidRDefault="005830EC"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ONUCI</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Opération des Nations unies en Côte d’Ivoire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OPEX</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Opération extérieure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OTAN</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Organisation du traité de l’Atlantique nord</w:t>
      </w:r>
    </w:p>
    <w:p w:rsidR="005830EC" w:rsidRPr="009E0F2C" w:rsidRDefault="005830EC"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PESD</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Politique européenne de sécurité et de défense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PIB</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Produit intérieur brut</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PS</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Parti socialiste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PSDC</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Politique de sécurité et de défense commune</w:t>
      </w:r>
    </w:p>
    <w:p w:rsidR="005830EC" w:rsidRPr="009E0F2C" w:rsidRDefault="005830EC"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R&amp;D</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Recherche et développement</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R&amp;T</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Recherche et technologie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SACT</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proofErr w:type="spellStart"/>
      <w:r w:rsidRPr="009E0F2C">
        <w:rPr>
          <w:rFonts w:asciiTheme="minorHAnsi" w:hAnsiTheme="minorHAnsi" w:cstheme="minorHAnsi"/>
          <w:sz w:val="18"/>
          <w:szCs w:val="18"/>
          <w:lang w:val="fr-FR"/>
        </w:rPr>
        <w:t>Supreme</w:t>
      </w:r>
      <w:proofErr w:type="spellEnd"/>
      <w:r w:rsidRPr="009E0F2C">
        <w:rPr>
          <w:rFonts w:asciiTheme="minorHAnsi" w:hAnsiTheme="minorHAnsi" w:cstheme="minorHAnsi"/>
          <w:sz w:val="18"/>
          <w:szCs w:val="18"/>
          <w:lang w:val="fr-FR"/>
        </w:rPr>
        <w:t xml:space="preserve"> </w:t>
      </w:r>
      <w:proofErr w:type="spellStart"/>
      <w:r w:rsidRPr="009E0F2C">
        <w:rPr>
          <w:rFonts w:asciiTheme="minorHAnsi" w:hAnsiTheme="minorHAnsi" w:cstheme="minorHAnsi"/>
          <w:sz w:val="18"/>
          <w:szCs w:val="18"/>
          <w:lang w:val="fr-FR"/>
        </w:rPr>
        <w:t>Allied</w:t>
      </w:r>
      <w:proofErr w:type="spellEnd"/>
      <w:r w:rsidRPr="009E0F2C">
        <w:rPr>
          <w:rFonts w:asciiTheme="minorHAnsi" w:hAnsiTheme="minorHAnsi" w:cstheme="minorHAnsi"/>
          <w:sz w:val="18"/>
          <w:szCs w:val="18"/>
          <w:lang w:val="fr-FR"/>
        </w:rPr>
        <w:t xml:space="preserve"> Commander Transformation</w:t>
      </w:r>
    </w:p>
    <w:p w:rsidR="00B00A29" w:rsidRPr="009E0F2C" w:rsidRDefault="00B00A29" w:rsidP="00B00A29">
      <w:pPr>
        <w:rPr>
          <w:rFonts w:asciiTheme="minorHAnsi" w:hAnsiTheme="minorHAnsi" w:cstheme="minorHAnsi"/>
          <w:iCs/>
          <w:sz w:val="18"/>
          <w:szCs w:val="18"/>
          <w:lang w:val="fr-FR"/>
        </w:rPr>
      </w:pPr>
      <w:r w:rsidRPr="009E0F2C">
        <w:rPr>
          <w:rFonts w:asciiTheme="minorHAnsi" w:hAnsiTheme="minorHAnsi" w:cstheme="minorHAnsi"/>
          <w:sz w:val="18"/>
          <w:szCs w:val="18"/>
          <w:lang w:val="fr-FR"/>
        </w:rPr>
        <w:t>SAMP/T</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00BB1B5C">
        <w:rPr>
          <w:rFonts w:asciiTheme="minorHAnsi" w:hAnsiTheme="minorHAnsi" w:cstheme="minorHAnsi"/>
          <w:sz w:val="18"/>
          <w:szCs w:val="18"/>
          <w:lang w:val="fr-FR"/>
        </w:rPr>
        <w:tab/>
      </w:r>
      <w:r w:rsidRPr="009E0F2C">
        <w:rPr>
          <w:rFonts w:asciiTheme="minorHAnsi" w:hAnsiTheme="minorHAnsi" w:cstheme="minorHAnsi"/>
          <w:sz w:val="18"/>
          <w:szCs w:val="18"/>
          <w:lang w:val="fr-FR"/>
        </w:rPr>
        <w:t>Sol-air de moyenne portée/terrestre</w:t>
      </w:r>
    </w:p>
    <w:p w:rsidR="00B00A29" w:rsidRPr="009E0F2C" w:rsidRDefault="00B00A29" w:rsidP="00B00A29">
      <w:pPr>
        <w:rPr>
          <w:rFonts w:asciiTheme="minorHAnsi" w:hAnsiTheme="minorHAnsi" w:cstheme="minorHAnsi"/>
          <w:iCs/>
          <w:sz w:val="18"/>
          <w:szCs w:val="18"/>
          <w:lang w:val="fr-FR"/>
        </w:rPr>
      </w:pPr>
      <w:r w:rsidRPr="009E0F2C">
        <w:rPr>
          <w:rFonts w:asciiTheme="minorHAnsi" w:hAnsiTheme="minorHAnsi" w:cstheme="minorHAnsi"/>
          <w:iCs/>
          <w:sz w:val="18"/>
          <w:szCs w:val="18"/>
          <w:lang w:val="fr-FR"/>
        </w:rPr>
        <w:t>SEAE</w:t>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t>Service européen d’action extérieure</w:t>
      </w:r>
    </w:p>
    <w:p w:rsidR="005830EC" w:rsidRPr="009E0F2C" w:rsidRDefault="005830EC" w:rsidP="00B00A29">
      <w:pPr>
        <w:rPr>
          <w:rFonts w:asciiTheme="minorHAnsi" w:hAnsiTheme="minorHAnsi" w:cstheme="minorHAnsi"/>
          <w:iCs/>
          <w:sz w:val="18"/>
          <w:szCs w:val="18"/>
          <w:lang w:val="fr-FR"/>
        </w:rPr>
      </w:pPr>
      <w:r w:rsidRPr="009E0F2C">
        <w:rPr>
          <w:rFonts w:asciiTheme="minorHAnsi" w:hAnsiTheme="minorHAnsi" w:cstheme="minorHAnsi"/>
          <w:iCs/>
          <w:sz w:val="18"/>
          <w:szCs w:val="18"/>
          <w:lang w:val="fr-FR"/>
        </w:rPr>
        <w:t>SGDN</w:t>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t>Secrétariat général de la défense nationale</w:t>
      </w:r>
    </w:p>
    <w:p w:rsidR="00B00A29" w:rsidRPr="009E0F2C" w:rsidRDefault="00B00A29" w:rsidP="00B00A29">
      <w:pPr>
        <w:rPr>
          <w:rFonts w:asciiTheme="minorHAnsi" w:hAnsiTheme="minorHAnsi" w:cstheme="minorHAnsi"/>
          <w:iCs/>
          <w:sz w:val="18"/>
          <w:szCs w:val="18"/>
          <w:lang w:val="fr-BE"/>
        </w:rPr>
      </w:pPr>
      <w:r w:rsidRPr="009E0F2C">
        <w:rPr>
          <w:rFonts w:asciiTheme="minorHAnsi" w:hAnsiTheme="minorHAnsi" w:cstheme="minorHAnsi"/>
          <w:iCs/>
          <w:sz w:val="18"/>
          <w:szCs w:val="18"/>
          <w:lang w:val="fr-FR"/>
        </w:rPr>
        <w:t>SGDSN</w:t>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ab/>
      </w:r>
      <w:r w:rsidR="002A31BD" w:rsidRPr="009E0F2C">
        <w:rPr>
          <w:rFonts w:asciiTheme="minorHAnsi" w:hAnsiTheme="minorHAnsi" w:cstheme="minorHAnsi"/>
          <w:iCs/>
          <w:sz w:val="18"/>
          <w:szCs w:val="18"/>
          <w:lang w:val="fr-FR"/>
        </w:rPr>
        <w:tab/>
      </w:r>
      <w:r w:rsidRPr="009E0F2C">
        <w:rPr>
          <w:rFonts w:asciiTheme="minorHAnsi" w:hAnsiTheme="minorHAnsi" w:cstheme="minorHAnsi"/>
          <w:iCs/>
          <w:sz w:val="18"/>
          <w:szCs w:val="18"/>
          <w:lang w:val="fr-FR"/>
        </w:rPr>
        <w:t>Secrétaire général de la défense et de la sécurité nationale</w:t>
      </w:r>
    </w:p>
    <w:p w:rsidR="00B00A29" w:rsidRPr="009E0F2C" w:rsidRDefault="00B00A29" w:rsidP="00B00A29">
      <w:pPr>
        <w:rPr>
          <w:rFonts w:asciiTheme="minorHAnsi" w:hAnsiTheme="minorHAnsi" w:cstheme="minorHAnsi"/>
          <w:sz w:val="18"/>
          <w:szCs w:val="18"/>
        </w:rPr>
      </w:pPr>
      <w:r w:rsidRPr="009E0F2C">
        <w:rPr>
          <w:rFonts w:asciiTheme="minorHAnsi" w:hAnsiTheme="minorHAnsi" w:cstheme="minorHAnsi"/>
          <w:iCs/>
          <w:sz w:val="18"/>
          <w:szCs w:val="18"/>
          <w:lang w:val="en-GB"/>
        </w:rPr>
        <w:t>SICRAL</w:t>
      </w:r>
      <w:r w:rsidRPr="009E0F2C">
        <w:rPr>
          <w:rFonts w:asciiTheme="minorHAnsi" w:hAnsiTheme="minorHAnsi" w:cstheme="minorHAnsi"/>
          <w:iCs/>
          <w:sz w:val="18"/>
          <w:szCs w:val="18"/>
          <w:lang w:val="en-GB"/>
        </w:rPr>
        <w:tab/>
      </w:r>
      <w:r w:rsidRPr="009E0F2C">
        <w:rPr>
          <w:rFonts w:asciiTheme="minorHAnsi" w:hAnsiTheme="minorHAnsi" w:cstheme="minorHAnsi"/>
          <w:iCs/>
          <w:sz w:val="18"/>
          <w:szCs w:val="18"/>
          <w:lang w:val="en-GB"/>
        </w:rPr>
        <w:tab/>
      </w:r>
      <w:r w:rsidRPr="009E0F2C">
        <w:rPr>
          <w:rFonts w:asciiTheme="minorHAnsi" w:hAnsiTheme="minorHAnsi" w:cstheme="minorHAnsi"/>
          <w:iCs/>
          <w:sz w:val="18"/>
          <w:szCs w:val="18"/>
          <w:lang w:val="en-GB"/>
        </w:rPr>
        <w:tab/>
      </w:r>
      <w:r w:rsidR="002A31BD" w:rsidRPr="009E0F2C">
        <w:rPr>
          <w:rFonts w:asciiTheme="minorHAnsi" w:hAnsiTheme="minorHAnsi" w:cstheme="minorHAnsi"/>
          <w:iCs/>
          <w:sz w:val="18"/>
          <w:szCs w:val="18"/>
          <w:lang w:val="en-GB"/>
        </w:rPr>
        <w:tab/>
      </w:r>
      <w:r w:rsidRPr="009E0F2C">
        <w:rPr>
          <w:rStyle w:val="st"/>
          <w:rFonts w:asciiTheme="minorHAnsi" w:hAnsiTheme="minorHAnsi" w:cstheme="minorHAnsi"/>
          <w:sz w:val="18"/>
          <w:szCs w:val="18"/>
          <w:lang w:val="en-GB"/>
        </w:rPr>
        <w:t>Italian system for secure communications and alerts</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UE</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Union européenne.</w:t>
      </w:r>
    </w:p>
    <w:p w:rsidR="00B00A29" w:rsidRPr="009E0F2C" w:rsidRDefault="00B00A29" w:rsidP="00B00A29">
      <w:pPr>
        <w:rPr>
          <w:rFonts w:asciiTheme="minorHAnsi" w:hAnsiTheme="minorHAnsi" w:cstheme="minorHAnsi"/>
          <w:sz w:val="18"/>
          <w:szCs w:val="18"/>
          <w:lang w:val="fr-FR"/>
        </w:rPr>
      </w:pPr>
      <w:r w:rsidRPr="009E0F2C">
        <w:rPr>
          <w:rFonts w:asciiTheme="minorHAnsi" w:hAnsiTheme="minorHAnsi" w:cstheme="minorHAnsi"/>
          <w:sz w:val="18"/>
          <w:szCs w:val="18"/>
          <w:lang w:val="fr-FR"/>
        </w:rPr>
        <w:t>UEO</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Union de l’Europe occidentale</w:t>
      </w:r>
    </w:p>
    <w:p w:rsidR="00B00A29" w:rsidRPr="00B00A29" w:rsidRDefault="00B00A29" w:rsidP="00B00A29">
      <w:pPr>
        <w:rPr>
          <w:rFonts w:asciiTheme="minorHAnsi" w:hAnsiTheme="minorHAnsi" w:cstheme="minorHAnsi"/>
          <w:sz w:val="22"/>
          <w:lang w:val="fr-FR"/>
        </w:rPr>
      </w:pPr>
      <w:r w:rsidRPr="009E0F2C">
        <w:rPr>
          <w:rFonts w:asciiTheme="minorHAnsi" w:hAnsiTheme="minorHAnsi" w:cstheme="minorHAnsi"/>
          <w:sz w:val="18"/>
          <w:szCs w:val="18"/>
          <w:lang w:val="fr-FR"/>
        </w:rPr>
        <w:t>UMP</w:t>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r>
      <w:r w:rsidRPr="009E0F2C">
        <w:rPr>
          <w:rFonts w:asciiTheme="minorHAnsi" w:hAnsiTheme="minorHAnsi" w:cstheme="minorHAnsi"/>
          <w:sz w:val="18"/>
          <w:szCs w:val="18"/>
          <w:lang w:val="fr-FR"/>
        </w:rPr>
        <w:tab/>
        <w:t>Union pour un mouvement populaire</w:t>
      </w:r>
      <w:r w:rsidRPr="009E0F2C">
        <w:rPr>
          <w:rFonts w:asciiTheme="minorHAnsi" w:hAnsiTheme="minorHAnsi" w:cstheme="minorHAnsi"/>
          <w:sz w:val="18"/>
          <w:szCs w:val="18"/>
          <w:lang w:val="fr-FR"/>
        </w:rPr>
        <w:tab/>
      </w:r>
      <w:r w:rsidRPr="00B00A29">
        <w:rPr>
          <w:rFonts w:asciiTheme="minorHAnsi" w:hAnsiTheme="minorHAnsi" w:cstheme="minorHAnsi"/>
          <w:sz w:val="22"/>
          <w:lang w:val="fr-FR"/>
        </w:rPr>
        <w:tab/>
      </w:r>
      <w:r w:rsidRPr="00B00A29">
        <w:rPr>
          <w:rFonts w:asciiTheme="minorHAnsi" w:hAnsiTheme="minorHAnsi" w:cstheme="minorHAnsi"/>
          <w:sz w:val="22"/>
          <w:lang w:val="fr-FR"/>
        </w:rPr>
        <w:tab/>
      </w:r>
    </w:p>
    <w:p w:rsidR="00B00A29" w:rsidRPr="00A32CCC" w:rsidRDefault="00B00A29">
      <w:pPr>
        <w:rPr>
          <w:lang w:val="fr-BE"/>
        </w:rPr>
      </w:pPr>
      <w:r w:rsidRPr="00A32CCC">
        <w:rPr>
          <w:lang w:val="fr-BE"/>
        </w:rPr>
        <w:br w:type="page"/>
      </w:r>
    </w:p>
    <w:p w:rsidR="00CB396E" w:rsidRPr="00A32CCC" w:rsidRDefault="00603254" w:rsidP="00CB396E">
      <w:pPr>
        <w:spacing w:after="360"/>
        <w:ind w:left="720"/>
        <w:rPr>
          <w:rFonts w:ascii="Century Schoolbook" w:hAnsi="Century Schoolbook"/>
          <w:b/>
          <w:color w:val="1F497D"/>
          <w:sz w:val="48"/>
          <w:szCs w:val="48"/>
          <w:lang w:val="fr-BE"/>
        </w:rPr>
      </w:pPr>
      <w:r w:rsidRPr="00603254">
        <w:rPr>
          <w:noProof/>
        </w:rPr>
        <w:lastRenderedPageBreak/>
        <w:pict>
          <v:rect id="Rectangle 5418" o:spid="_x0000_s1045" style="position:absolute;left:0;text-align:left;margin-left:-4.95pt;margin-top:-8.35pt;width:36pt;height:63pt;z-index:2516080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" fillcolor="#1f497d" stroked="f" strokeweight="0" insetpen="t">
            <v:shadow color="#ccc"/>
            <v:textbox inset="2.88pt,2.88pt,2.88pt,2.88pt"/>
          </v:rect>
        </w:pict>
      </w:r>
      <w:r w:rsidR="00CB396E" w:rsidRPr="00A32CCC">
        <w:rPr>
          <w:rFonts w:ascii="Century Schoolbook" w:hAnsi="Century Schoolbook"/>
          <w:b/>
          <w:color w:val="1F497D"/>
          <w:sz w:val="48"/>
          <w:szCs w:val="48"/>
          <w:lang w:val="fr-BE"/>
        </w:rPr>
        <w:br/>
        <w:t>Introduction</w:t>
      </w:r>
    </w:p>
    <w:p w:rsidR="00360B46" w:rsidRPr="00835B65" w:rsidRDefault="00360B46" w:rsidP="007D612B">
      <w:pPr>
        <w:jc w:val="both"/>
        <w:rPr>
          <w:sz w:val="22"/>
          <w:szCs w:val="22"/>
          <w:lang w:val="fr-FR"/>
        </w:rPr>
      </w:pPr>
      <w:r w:rsidRPr="00835B65">
        <w:rPr>
          <w:sz w:val="22"/>
          <w:szCs w:val="22"/>
          <w:lang w:val="fr-FR"/>
        </w:rPr>
        <w:t>Au lendemain des élections, le président de la République française, François Hollande, a demandé que soit rédigé un nouveau Livre blanc de la défense et la sécurité nationale, après ceux</w:t>
      </w:r>
      <w:r w:rsidRPr="00835B65">
        <w:rPr>
          <w:rStyle w:val="Appelnotedebasdep"/>
          <w:sz w:val="22"/>
          <w:szCs w:val="22"/>
        </w:rPr>
        <w:footnoteReference w:id="2"/>
      </w:r>
      <w:r w:rsidRPr="00835B65">
        <w:rPr>
          <w:sz w:val="22"/>
          <w:szCs w:val="22"/>
          <w:lang w:val="fr-FR"/>
        </w:rPr>
        <w:t xml:space="preserve"> de 1972, de 1994 et de 2008</w:t>
      </w:r>
      <w:r w:rsidRPr="00835B65">
        <w:rPr>
          <w:rStyle w:val="Appelnotedebasdep"/>
          <w:sz w:val="22"/>
          <w:szCs w:val="22"/>
        </w:rPr>
        <w:footnoteReference w:id="3"/>
      </w:r>
      <w:r w:rsidRPr="00835B65">
        <w:rPr>
          <w:sz w:val="22"/>
          <w:szCs w:val="22"/>
          <w:lang w:val="fr-FR"/>
        </w:rPr>
        <w:t>. Sous la forme d’une « Lettre de mission », il reprenait une demande déjà formulée par le président Sarkozy à propos de l’actualisation</w:t>
      </w:r>
      <w:r w:rsidRPr="00835B65">
        <w:rPr>
          <w:rStyle w:val="Appelnotedebasdep"/>
          <w:sz w:val="22"/>
          <w:szCs w:val="22"/>
        </w:rPr>
        <w:footnoteReference w:id="4"/>
      </w:r>
      <w:r w:rsidRPr="00835B65">
        <w:rPr>
          <w:sz w:val="22"/>
          <w:szCs w:val="22"/>
          <w:lang w:val="fr-FR"/>
        </w:rPr>
        <w:t xml:space="preserve"> de l’analyse du contexte stratégique du Livre blanc de 2008 mais dont la parution avait été fixée après l’élection présidentielle du printemps 2012 ! </w:t>
      </w:r>
    </w:p>
    <w:p w:rsidR="00360B46" w:rsidRPr="00835B65" w:rsidRDefault="00360B46" w:rsidP="007D612B">
      <w:pPr>
        <w:jc w:val="both"/>
        <w:rPr>
          <w:sz w:val="22"/>
          <w:szCs w:val="22"/>
          <w:lang w:val="fr-FR"/>
        </w:rPr>
      </w:pPr>
    </w:p>
    <w:p w:rsidR="00360B46" w:rsidRPr="00835B65" w:rsidRDefault="00360B46" w:rsidP="007D612B">
      <w:pPr>
        <w:jc w:val="both"/>
        <w:rPr>
          <w:sz w:val="22"/>
          <w:szCs w:val="22"/>
          <w:lang w:val="fr-FR"/>
        </w:rPr>
      </w:pPr>
      <w:r w:rsidRPr="00835B65">
        <w:rPr>
          <w:sz w:val="22"/>
          <w:szCs w:val="22"/>
          <w:lang w:val="fr-FR"/>
        </w:rPr>
        <w:t xml:space="preserve">Dans la préface du document présenté officiellement le 29 avril 2013 avec plusieurs semaines de retard, il est précisé que cette démarche était devenue nécessaire au vu des nouvelles évolutions stratégiques.  </w:t>
      </w:r>
    </w:p>
    <w:p w:rsidR="00360B46" w:rsidRPr="00835B65" w:rsidRDefault="00360B46" w:rsidP="007D612B">
      <w:pPr>
        <w:jc w:val="both"/>
        <w:rPr>
          <w:sz w:val="22"/>
          <w:szCs w:val="22"/>
          <w:lang w:val="fr-FR"/>
        </w:rPr>
      </w:pPr>
    </w:p>
    <w:p w:rsidR="00360B46" w:rsidRPr="00835B65" w:rsidRDefault="00360B46" w:rsidP="007D612B">
      <w:pPr>
        <w:jc w:val="both"/>
        <w:rPr>
          <w:sz w:val="22"/>
          <w:szCs w:val="22"/>
          <w:lang w:val="fr-FR"/>
        </w:rPr>
      </w:pPr>
      <w:r w:rsidRPr="00835B65">
        <w:rPr>
          <w:sz w:val="22"/>
          <w:szCs w:val="22"/>
          <w:lang w:val="fr-FR"/>
        </w:rPr>
        <w:t xml:space="preserve">Le caractère solennel et officiel est ici garanti par la « commande » élyséenne et par le statut que revêt ledit document en tant que « Livre blanc de la sécurité et de la défense ». </w:t>
      </w:r>
    </w:p>
    <w:p w:rsidR="00360B46" w:rsidRPr="00835B65" w:rsidRDefault="00360B46" w:rsidP="00360B46">
      <w:pPr>
        <w:rPr>
          <w:sz w:val="22"/>
          <w:szCs w:val="22"/>
          <w:lang w:val="fr-FR"/>
        </w:rPr>
      </w:pPr>
    </w:p>
    <w:tbl>
      <w:tblPr>
        <w:tblW w:w="10007" w:type="dxa"/>
        <w:tblInd w:w="-5" w:type="dxa"/>
        <w:tblLayout w:type="fixed"/>
        <w:tblCellMar>
          <w:left w:w="70" w:type="dxa"/>
          <w:right w:w="70" w:type="dxa"/>
        </w:tblCellMar>
        <w:tblLook w:val="0000"/>
      </w:tblPr>
      <w:tblGrid>
        <w:gridCol w:w="10007"/>
      </w:tblGrid>
      <w:tr w:rsidR="00360B46" w:rsidRPr="000449D5" w:rsidTr="009E0F2C">
        <w:trPr>
          <w:trHeight w:val="1990"/>
        </w:trPr>
        <w:tc>
          <w:tcPr>
            <w:tcW w:w="10007" w:type="dxa"/>
            <w:tcBorders>
              <w:top w:val="single" w:sz="4" w:space="0" w:color="000000"/>
              <w:left w:val="single" w:sz="4" w:space="0" w:color="000000"/>
              <w:bottom w:val="single" w:sz="4" w:space="0" w:color="000000"/>
              <w:right w:val="single" w:sz="4" w:space="0" w:color="000000"/>
            </w:tcBorders>
            <w:shd w:val="clear" w:color="auto" w:fill="auto"/>
          </w:tcPr>
          <w:p w:rsidR="00360B46" w:rsidRPr="00835B65" w:rsidRDefault="00360B46" w:rsidP="00CA0FBA">
            <w:pPr>
              <w:snapToGrid w:val="0"/>
              <w:ind w:left="202"/>
              <w:rPr>
                <w:sz w:val="22"/>
                <w:szCs w:val="22"/>
                <w:lang w:val="fr-FR"/>
              </w:rPr>
            </w:pPr>
          </w:p>
          <w:p w:rsidR="00360B46" w:rsidRPr="00835B65" w:rsidRDefault="00360B46" w:rsidP="009E0F2C">
            <w:pPr>
              <w:jc w:val="both"/>
              <w:rPr>
                <w:sz w:val="22"/>
                <w:szCs w:val="22"/>
                <w:lang w:val="fr-FR"/>
              </w:rPr>
            </w:pPr>
            <w:r w:rsidRPr="00835B65">
              <w:rPr>
                <w:rFonts w:eastAsia="Calibri"/>
                <w:sz w:val="22"/>
                <w:szCs w:val="22"/>
                <w:lang w:val="fr-FR"/>
              </w:rPr>
              <w:t xml:space="preserve">Cette </w:t>
            </w:r>
            <w:r w:rsidRPr="00835B65">
              <w:rPr>
                <w:sz w:val="22"/>
                <w:szCs w:val="22"/>
                <w:lang w:val="fr-FR"/>
              </w:rPr>
              <w:t>expression désigne « </w:t>
            </w:r>
            <w:r w:rsidRPr="00835B65">
              <w:rPr>
                <w:rFonts w:eastAsia="Calibri"/>
                <w:i/>
                <w:iCs/>
                <w:sz w:val="22"/>
                <w:szCs w:val="22"/>
                <w:lang w:val="fr-FR"/>
              </w:rPr>
              <w:t>des rapports officiels, de périodicité variable, dressant un bilan de la situation géostratégique, faisant état des ressources disponibles et en développement et indiquant les missions</w:t>
            </w:r>
            <w:r w:rsidRPr="00835B65">
              <w:rPr>
                <w:rFonts w:eastAsia="Calibri"/>
                <w:sz w:val="22"/>
                <w:szCs w:val="22"/>
                <w:lang w:val="fr-FR"/>
              </w:rPr>
              <w:t xml:space="preserve"> </w:t>
            </w:r>
            <w:r w:rsidRPr="00835B65">
              <w:rPr>
                <w:rFonts w:eastAsia="Calibri"/>
                <w:i/>
                <w:iCs/>
                <w:sz w:val="22"/>
                <w:szCs w:val="22"/>
                <w:lang w:val="fr-FR"/>
              </w:rPr>
              <w:t>des forces armées nationales. Parfois ce document s’accompagne d’indications sur les axes de développement pour l’avenir. Un livre blanc ne constitue pas un ouvrage doctrinal au sens opérationnel du terme. En revanche, comme il expose dans leurs grandes lignes les buts stratégiques du gouvernement et la conception du rôle des forces armées, on en fait parfois le manifeste déclaratoire de l</w:t>
            </w:r>
            <w:r w:rsidRPr="00835B65">
              <w:rPr>
                <w:i/>
                <w:iCs/>
                <w:sz w:val="22"/>
                <w:szCs w:val="22"/>
                <w:lang w:val="fr-FR"/>
              </w:rPr>
              <w:t>a doctrine stratégique nationale</w:t>
            </w:r>
            <w:r w:rsidRPr="00835B65">
              <w:rPr>
                <w:rFonts w:eastAsia="Calibri"/>
                <w:i/>
                <w:iCs/>
                <w:sz w:val="22"/>
                <w:szCs w:val="22"/>
                <w:lang w:val="fr-FR"/>
              </w:rPr>
              <w:t>.</w:t>
            </w:r>
            <w:r w:rsidRPr="00835B65">
              <w:rPr>
                <w:rFonts w:eastAsia="Calibri"/>
                <w:iCs/>
                <w:sz w:val="22"/>
                <w:szCs w:val="22"/>
                <w:lang w:val="fr-FR"/>
              </w:rPr>
              <w:t> »</w:t>
            </w:r>
            <w:r w:rsidRPr="00835B65">
              <w:rPr>
                <w:rStyle w:val="Appelnotedebasdep"/>
                <w:sz w:val="22"/>
                <w:szCs w:val="22"/>
              </w:rPr>
              <w:footnoteReference w:id="5"/>
            </w:r>
          </w:p>
          <w:p w:rsidR="00360B46" w:rsidRPr="00835B65" w:rsidRDefault="00360B46" w:rsidP="00CA0FBA">
            <w:pPr>
              <w:ind w:left="202"/>
              <w:rPr>
                <w:sz w:val="22"/>
                <w:szCs w:val="22"/>
                <w:lang w:val="fr-FR"/>
              </w:rPr>
            </w:pPr>
          </w:p>
        </w:tc>
      </w:tr>
    </w:tbl>
    <w:p w:rsidR="00360B46" w:rsidRPr="00835B65" w:rsidRDefault="00360B46" w:rsidP="00360B46">
      <w:pPr>
        <w:rPr>
          <w:sz w:val="22"/>
          <w:szCs w:val="22"/>
          <w:lang w:val="fr-BE"/>
        </w:rPr>
      </w:pPr>
    </w:p>
    <w:p w:rsidR="00B44D2F" w:rsidRPr="00835B65" w:rsidRDefault="00B44D2F" w:rsidP="007D612B">
      <w:pPr>
        <w:jc w:val="both"/>
        <w:rPr>
          <w:sz w:val="22"/>
          <w:szCs w:val="22"/>
          <w:lang w:val="fr-FR"/>
        </w:rPr>
      </w:pPr>
      <w:r w:rsidRPr="00835B65">
        <w:rPr>
          <w:sz w:val="22"/>
          <w:szCs w:val="22"/>
          <w:lang w:val="fr-FR"/>
        </w:rPr>
        <w:t>Une autre définition le décrit comme « un document de référence qui définit pour une période donnée les objectifs d’une politique publique, le cadre dans lequel elle s’exerce et les grands choix qu’elle propose »</w:t>
      </w:r>
      <w:r w:rsidRPr="00835B65">
        <w:rPr>
          <w:sz w:val="22"/>
          <w:szCs w:val="22"/>
          <w:vertAlign w:val="superscript"/>
          <w:lang w:val="fr-FR"/>
        </w:rPr>
        <w:footnoteReference w:id="6"/>
      </w:r>
      <w:r w:rsidRPr="00835B65">
        <w:rPr>
          <w:sz w:val="22"/>
          <w:szCs w:val="22"/>
          <w:vertAlign w:val="superscript"/>
          <w:lang w:val="fr-FR"/>
        </w:rPr>
        <w:t>.</w:t>
      </w:r>
    </w:p>
    <w:p w:rsidR="00B44D2F" w:rsidRDefault="00B44D2F" w:rsidP="007D612B">
      <w:pPr>
        <w:jc w:val="both"/>
        <w:rPr>
          <w:szCs w:val="24"/>
          <w:lang w:val="fr-FR"/>
        </w:rPr>
      </w:pPr>
    </w:p>
    <w:p w:rsidR="00B44D2F" w:rsidRPr="00835B65" w:rsidRDefault="00B44D2F" w:rsidP="007D612B">
      <w:pPr>
        <w:pStyle w:val="Corpsdetexte2"/>
        <w:spacing w:after="0" w:line="240" w:lineRule="auto"/>
        <w:jc w:val="both"/>
        <w:rPr>
          <w:iCs/>
          <w:sz w:val="22"/>
          <w:szCs w:val="22"/>
          <w:lang w:val="fr-BE"/>
        </w:rPr>
      </w:pPr>
      <w:r w:rsidRPr="00835B65">
        <w:rPr>
          <w:iCs/>
          <w:sz w:val="22"/>
          <w:szCs w:val="22"/>
          <w:lang w:val="fr-BE"/>
        </w:rPr>
        <w:t xml:space="preserve">Relevons aussi que pour les Britanniques, les Allemands et certains États dits « neutres », le terme de « Livre blanc », dont l’expression est d’origine anglaise (White Book, White Paper), impose une politique de défense prescriptive, « dirigiste » et donc relativement contraignante </w:t>
      </w:r>
    </w:p>
    <w:p w:rsidR="00CA0FBA" w:rsidRDefault="00CA0FBA">
      <w:pPr>
        <w:rPr>
          <w:sz w:val="22"/>
          <w:szCs w:val="22"/>
          <w:lang w:val="fr-BE"/>
        </w:rPr>
      </w:pPr>
      <w:r>
        <w:rPr>
          <w:sz w:val="22"/>
          <w:szCs w:val="22"/>
          <w:lang w:val="fr-BE"/>
        </w:rPr>
        <w:br w:type="page"/>
      </w:r>
    </w:p>
    <w:p w:rsidR="00B44D2F" w:rsidRDefault="00B44D2F" w:rsidP="007D612B">
      <w:pPr>
        <w:pStyle w:val="Corpsdetexte2"/>
        <w:spacing w:after="0" w:line="240" w:lineRule="auto"/>
        <w:jc w:val="both"/>
        <w:rPr>
          <w:sz w:val="22"/>
          <w:szCs w:val="22"/>
          <w:lang w:val="fr-BE"/>
        </w:rPr>
      </w:pPr>
      <w:r w:rsidRPr="00835B65">
        <w:rPr>
          <w:sz w:val="22"/>
          <w:szCs w:val="22"/>
          <w:lang w:val="fr-BE"/>
        </w:rPr>
        <w:lastRenderedPageBreak/>
        <w:t>Le Livre blanc a pour objectif principal d’éclairer les choix de sécurité et de défense du pays sur le moyen terme. Ce sont des balises qui ont plusieurs avantages, à savoir :</w:t>
      </w:r>
    </w:p>
    <w:p w:rsidR="00002D7C" w:rsidRPr="00835B65" w:rsidRDefault="00002D7C" w:rsidP="007D612B">
      <w:pPr>
        <w:pStyle w:val="Corpsdetexte2"/>
        <w:spacing w:after="0" w:line="240" w:lineRule="auto"/>
        <w:jc w:val="both"/>
        <w:rPr>
          <w:iCs/>
          <w:sz w:val="22"/>
          <w:szCs w:val="22"/>
          <w:lang w:val="fr-BE"/>
        </w:rPr>
      </w:pPr>
    </w:p>
    <w:tbl>
      <w:tblPr>
        <w:tblW w:w="0" w:type="auto"/>
        <w:tblInd w:w="-5" w:type="dxa"/>
        <w:tblLayout w:type="fixed"/>
        <w:tblCellMar>
          <w:left w:w="70" w:type="dxa"/>
          <w:right w:w="70" w:type="dxa"/>
        </w:tblCellMar>
        <w:tblLook w:val="0000"/>
      </w:tblPr>
      <w:tblGrid>
        <w:gridCol w:w="9694"/>
      </w:tblGrid>
      <w:tr w:rsidR="00B44D2F" w:rsidRPr="000449D5" w:rsidTr="00D47267">
        <w:trPr>
          <w:trHeight w:val="9010"/>
        </w:trPr>
        <w:tc>
          <w:tcPr>
            <w:tcW w:w="9694" w:type="dxa"/>
            <w:tcBorders>
              <w:top w:val="single" w:sz="4" w:space="0" w:color="000000"/>
              <w:left w:val="single" w:sz="4" w:space="0" w:color="000000"/>
              <w:bottom w:val="single" w:sz="4" w:space="0" w:color="000000"/>
              <w:right w:val="single" w:sz="4" w:space="0" w:color="000000"/>
            </w:tcBorders>
            <w:shd w:val="clear" w:color="auto" w:fill="auto"/>
          </w:tcPr>
          <w:p w:rsidR="00B44D2F" w:rsidRPr="00835B65" w:rsidRDefault="00B44D2F" w:rsidP="00CA0FBA">
            <w:pPr>
              <w:snapToGrid w:val="0"/>
              <w:ind w:left="7"/>
              <w:rPr>
                <w:sz w:val="22"/>
                <w:szCs w:val="22"/>
                <w:lang w:val="fr-FR"/>
              </w:rPr>
            </w:pP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Codifier, sinon imposer des priorités (dimension « instrumentante ») et donner une orientation et une signification (amiral Lanxade, 1994)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Préciser les lignes de forces et les nouveaux objectifs prioritaires d’un nouveau gouvernement autour de l’élection présidentielle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Garantir une mise en œuvre satisfaisante des choix politico-militaires et des orientations en politique extérieure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Justifier et valider des décisions déjà prises</w:t>
            </w:r>
            <w:r w:rsidRPr="00835B65">
              <w:rPr>
                <w:rStyle w:val="Appelnotedebasdep"/>
                <w:rFonts w:ascii="Times New Roman" w:hAnsi="Times New Roman"/>
                <w:sz w:val="22"/>
              </w:rPr>
              <w:footnoteReference w:id="7"/>
            </w:r>
            <w:r w:rsidRPr="00835B65">
              <w:rPr>
                <w:rFonts w:ascii="Times New Roman" w:hAnsi="Times New Roman"/>
                <w:sz w:val="22"/>
                <w:lang w:val="fr-FR"/>
              </w:rPr>
              <w:t>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Définir le degré de dépendance, d’association et de soutien aux autres organisations que sont l’Union européenne à travers la PSDC et l’Alliance atlantique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Aider à la définition d’éléments spécifiques : modèle d’armée retenu, concept de sécurité nationale, doctrine intégrée autour des objectifs de l’intervention, crédibilité de la dissuasion, définition des risques et menaces, stratégie capacitaire, aspects budgétaires, approche globale interministérielle, place de l’humain, composante industrielle, etc.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Informer l’opinion publique, l’Assemblée nationale et les relais d’opinions sur les nouvelles orientations définies par l’Élysée et le gouvernement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Constituer une source d’inspiration utile pour les autres États membres de l’UE et de l’OTAN qui envisagent de poursuivre l’adaptation de leurs forces armées (mutualisation et partage, coopération structurée permanente, coopérations renforcées) ou qui souhaitent contribuer, en multinational, aux côtés de la France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Interagir avec la programmation militaire pluriannuelle 2014-2019</w:t>
            </w:r>
            <w:r w:rsidRPr="00835B65">
              <w:rPr>
                <w:rStyle w:val="Appelnotedebasdep"/>
                <w:rFonts w:ascii="Times New Roman" w:hAnsi="Times New Roman"/>
                <w:sz w:val="22"/>
              </w:rPr>
              <w:footnoteReference w:id="8"/>
            </w:r>
            <w:r w:rsidRPr="00835B65">
              <w:rPr>
                <w:rFonts w:ascii="Times New Roman" w:hAnsi="Times New Roman"/>
                <w:sz w:val="22"/>
                <w:lang w:val="fr-FR"/>
              </w:rPr>
              <w:t xml:space="preserve"> et les programmes R&amp;D et R&amp;T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Renforcer les politiques de mutualisations (nationales et de coopérations multinationales) dans le domaine de la défense et des opérations de gestion de crise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Aider les industriels à déterminer les lignes de forces en matière d’équipements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Tenter de limiter les restrictions budgétaires nationales du ministre du Trésor en matière de défense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 xml:space="preserve">Accroître la coopération, la cohérence et l’efficience au plan européen par la définition collective de priorités et de visions partagées, la formation des Européens à une culture commune ;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FR"/>
              </w:rPr>
            </w:pPr>
            <w:r w:rsidRPr="00835B65">
              <w:rPr>
                <w:rFonts w:ascii="Times New Roman" w:hAnsi="Times New Roman"/>
                <w:sz w:val="22"/>
                <w:lang w:val="fr-FR"/>
              </w:rPr>
              <w:t>Stimuler le dialogue de coopération avec les États partenaires et surtout avec les alliés nord-américains ;</w:t>
            </w:r>
          </w:p>
          <w:p w:rsidR="00B44D2F" w:rsidRPr="00835B65" w:rsidRDefault="00B44D2F" w:rsidP="00B44D2F">
            <w:pPr>
              <w:pStyle w:val="Paragraphedeliste"/>
              <w:numPr>
                <w:ilvl w:val="0"/>
                <w:numId w:val="12"/>
              </w:numPr>
              <w:suppressAutoHyphens/>
              <w:spacing w:after="0"/>
              <w:ind w:left="1139" w:hanging="567"/>
              <w:contextualSpacing w:val="0"/>
              <w:rPr>
                <w:rFonts w:ascii="Times New Roman" w:hAnsi="Times New Roman"/>
                <w:sz w:val="22"/>
                <w:lang w:val="fr-BE"/>
              </w:rPr>
            </w:pPr>
            <w:r w:rsidRPr="00835B65">
              <w:rPr>
                <w:rFonts w:ascii="Times New Roman" w:hAnsi="Times New Roman"/>
                <w:sz w:val="22"/>
                <w:lang w:val="fr-FR"/>
              </w:rPr>
              <w:t>Faire passer un « message » aux adversaires potentiels sur les capacités</w:t>
            </w:r>
            <w:r w:rsidRPr="00835B65">
              <w:rPr>
                <w:rStyle w:val="Appelnotedebasdep"/>
                <w:rFonts w:ascii="Times New Roman" w:hAnsi="Times New Roman"/>
                <w:sz w:val="22"/>
              </w:rPr>
              <w:footnoteReference w:id="9"/>
            </w:r>
            <w:r w:rsidRPr="00835B65">
              <w:rPr>
                <w:rFonts w:ascii="Times New Roman" w:hAnsi="Times New Roman"/>
                <w:sz w:val="22"/>
                <w:lang w:val="fr-FR"/>
              </w:rPr>
              <w:t xml:space="preserve"> hexagonales et son niveau de résilience.</w:t>
            </w:r>
          </w:p>
        </w:tc>
      </w:tr>
    </w:tbl>
    <w:p w:rsidR="00DA259E" w:rsidRPr="00835B65" w:rsidRDefault="00DA259E" w:rsidP="00B44D2F">
      <w:pPr>
        <w:jc w:val="both"/>
        <w:rPr>
          <w:sz w:val="22"/>
          <w:szCs w:val="22"/>
          <w:lang w:val="fr-FR"/>
        </w:rPr>
      </w:pPr>
    </w:p>
    <w:p w:rsidR="00DA259E" w:rsidRDefault="00DA259E">
      <w:pPr>
        <w:rPr>
          <w:rFonts w:asciiTheme="minorHAnsi" w:hAnsiTheme="minorHAnsi" w:cstheme="minorHAnsi"/>
          <w:szCs w:val="24"/>
          <w:lang w:val="fr-FR"/>
        </w:rPr>
      </w:pPr>
      <w:r>
        <w:rPr>
          <w:rFonts w:asciiTheme="minorHAnsi" w:hAnsiTheme="minorHAnsi" w:cstheme="minorHAnsi"/>
          <w:szCs w:val="24"/>
          <w:lang w:val="fr-FR"/>
        </w:rPr>
        <w:br w:type="page"/>
      </w:r>
    </w:p>
    <w:p w:rsidR="00B44D2F" w:rsidRPr="00835B65" w:rsidRDefault="00B44D2F" w:rsidP="00B44D2F">
      <w:pPr>
        <w:jc w:val="both"/>
        <w:rPr>
          <w:sz w:val="22"/>
          <w:szCs w:val="22"/>
          <w:lang w:val="fr-FR"/>
        </w:rPr>
      </w:pPr>
    </w:p>
    <w:p w:rsidR="00B44D2F" w:rsidRPr="00835B65" w:rsidRDefault="00B44D2F" w:rsidP="00B44D2F">
      <w:pPr>
        <w:jc w:val="both"/>
        <w:rPr>
          <w:sz w:val="22"/>
          <w:szCs w:val="22"/>
          <w:lang w:val="fr-FR"/>
        </w:rPr>
      </w:pPr>
      <w:r w:rsidRPr="00835B65">
        <w:rPr>
          <w:sz w:val="22"/>
          <w:szCs w:val="22"/>
          <w:lang w:val="fr-FR"/>
        </w:rPr>
        <w:t>Les axes prioritaires, les enjeux et les adaptations marquent tous les Livres blancs et sont en quelque sorte une carte de visite d’une politique de sécurité et de défense. Document de référence, il peut cependant ne pas être respecté comme l’histoire du ministère français de la Défense nous l’a laissé entrevoir. Pour Alain Richard, ancien ministre de la Défense (1997-2002), les livres blancs ont tendance à éluder les choix à faire</w:t>
      </w:r>
      <w:r w:rsidRPr="00835B65">
        <w:rPr>
          <w:sz w:val="22"/>
          <w:szCs w:val="22"/>
          <w:vertAlign w:val="superscript"/>
          <w:lang w:val="fr-FR"/>
        </w:rPr>
        <w:footnoteReference w:id="10"/>
      </w:r>
      <w:r w:rsidRPr="00835B65">
        <w:rPr>
          <w:sz w:val="22"/>
          <w:szCs w:val="22"/>
          <w:lang w:val="fr-FR"/>
        </w:rPr>
        <w:t xml:space="preserve">. </w:t>
      </w:r>
    </w:p>
    <w:p w:rsidR="00B44D2F" w:rsidRPr="00835B65" w:rsidRDefault="00B44D2F" w:rsidP="00B44D2F">
      <w:pPr>
        <w:jc w:val="both"/>
        <w:rPr>
          <w:sz w:val="22"/>
          <w:szCs w:val="22"/>
          <w:lang w:val="fr-FR"/>
        </w:rPr>
      </w:pPr>
      <w:r w:rsidRPr="00835B65">
        <w:rPr>
          <w:sz w:val="22"/>
          <w:szCs w:val="22"/>
          <w:lang w:val="fr-FR"/>
        </w:rPr>
        <w:t>Pour Henrotin</w:t>
      </w:r>
      <w:r w:rsidRPr="00835B65">
        <w:rPr>
          <w:sz w:val="22"/>
          <w:szCs w:val="22"/>
          <w:vertAlign w:val="superscript"/>
          <w:lang w:val="fr-FR"/>
        </w:rPr>
        <w:footnoteReference w:id="11"/>
      </w:r>
      <w:r w:rsidRPr="00835B65">
        <w:rPr>
          <w:sz w:val="22"/>
          <w:szCs w:val="22"/>
          <w:lang w:val="fr-FR"/>
        </w:rPr>
        <w:t>, le modèle de Livre blanc 2013 ne peut être vu comme l’explicitation d’une grande stratégie mais « comme un document hybride ». Il serait, à la fois, « analyse géostratégique de l’environnement international et feuille de route militaire – voire industrielle de défense – tout en orientant un certain nombre de choix ».</w:t>
      </w:r>
    </w:p>
    <w:p w:rsidR="00B44D2F" w:rsidRPr="00835B65" w:rsidRDefault="00B44D2F" w:rsidP="00B44D2F">
      <w:pPr>
        <w:jc w:val="both"/>
        <w:rPr>
          <w:sz w:val="22"/>
          <w:szCs w:val="22"/>
          <w:lang w:val="fr-FR"/>
        </w:rPr>
      </w:pPr>
    </w:p>
    <w:p w:rsidR="00B44D2F" w:rsidRPr="00835B65" w:rsidRDefault="00B44D2F" w:rsidP="00B44D2F">
      <w:pPr>
        <w:jc w:val="both"/>
        <w:rPr>
          <w:sz w:val="22"/>
          <w:szCs w:val="22"/>
          <w:lang w:val="fr-FR"/>
        </w:rPr>
      </w:pPr>
      <w:r w:rsidRPr="00835B65">
        <w:rPr>
          <w:sz w:val="22"/>
          <w:szCs w:val="22"/>
          <w:lang w:val="fr-FR"/>
        </w:rPr>
        <w:t>Reste qu’un Livre blanc pose une série de balises très utiles pour les partenaires européens et alliés afin de mieux saisir les priorités, les inflexions ou les confirmations politico-militaires dans des champs aussi variés que le doctrinal, le diplomatique, l’industriel, le capacitaire, l’institutionnel et l’opérationnel.</w:t>
      </w:r>
    </w:p>
    <w:p w:rsidR="00DA259E" w:rsidRPr="00835B65" w:rsidRDefault="00DA259E" w:rsidP="00360B46">
      <w:pPr>
        <w:spacing w:after="360"/>
        <w:ind w:left="720"/>
        <w:rPr>
          <w:sz w:val="22"/>
          <w:szCs w:val="22"/>
          <w:lang w:val="fr-BE"/>
        </w:rPr>
      </w:pPr>
    </w:p>
    <w:p w:rsidR="00DA259E" w:rsidRDefault="00DA259E">
      <w:pPr>
        <w:rPr>
          <w:lang w:val="fr-BE"/>
        </w:rPr>
      </w:pPr>
      <w:r>
        <w:rPr>
          <w:lang w:val="fr-BE"/>
        </w:rPr>
        <w:br w:type="page"/>
      </w:r>
    </w:p>
    <w:p w:rsidR="00DA259E" w:rsidRPr="00DA259E" w:rsidRDefault="00603254" w:rsidP="00DA259E">
      <w:pPr>
        <w:spacing w:after="360"/>
        <w:ind w:left="993"/>
        <w:jc w:val="both"/>
        <w:rPr>
          <w:rFonts w:ascii="Century Schoolbook" w:hAnsi="Century Schoolbook"/>
          <w:b/>
          <w:color w:val="1F497D"/>
          <w:sz w:val="48"/>
          <w:szCs w:val="48"/>
          <w:lang w:val="fr-BE"/>
        </w:rPr>
      </w:pPr>
      <w:r w:rsidRPr="00603254">
        <w:rPr>
          <w:noProof/>
        </w:rPr>
        <w:lastRenderedPageBreak/>
        <w:pict>
          <v:rect id="_x0000_s1044" style="position:absolute;left:0;text-align:left;margin-left:7.05pt;margin-top:17.45pt;width:36pt;height:63pt;z-index:25180774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" fillcolor="#1f497d" stroked="f" strokeweight="0" insetpen="t">
            <v:shadow color="#ccc"/>
            <v:textbox inset="2.88pt,2.88pt,2.88pt,2.88pt"/>
          </v:rect>
        </w:pict>
      </w:r>
      <w:r w:rsidR="00DA259E" w:rsidRPr="00DA259E">
        <w:rPr>
          <w:rFonts w:ascii="Century Schoolbook" w:hAnsi="Century Schoolbook"/>
          <w:b/>
          <w:color w:val="1F497D"/>
          <w:sz w:val="48"/>
          <w:szCs w:val="48"/>
          <w:lang w:val="fr-BE"/>
        </w:rPr>
        <w:t>Partie 1 : Bilan des travaux autour de l’élaboration du Livre blanc français de la défense 2013</w:t>
      </w:r>
    </w:p>
    <w:p w:rsidR="00DA259E" w:rsidRDefault="00DA259E" w:rsidP="00DA259E">
      <w:pPr>
        <w:rPr>
          <w:b/>
          <w:sz w:val="28"/>
          <w:szCs w:val="28"/>
          <w:lang w:val="fr-FR"/>
        </w:rPr>
      </w:pPr>
    </w:p>
    <w:p w:rsidR="00DA259E" w:rsidRPr="00835B65" w:rsidRDefault="00DA259E" w:rsidP="00DA259E">
      <w:pPr>
        <w:pStyle w:val="Paragraphedeliste"/>
        <w:numPr>
          <w:ilvl w:val="0"/>
          <w:numId w:val="14"/>
        </w:numPr>
        <w:suppressAutoHyphens/>
        <w:spacing w:after="0"/>
        <w:contextualSpacing w:val="0"/>
        <w:jc w:val="left"/>
        <w:rPr>
          <w:rFonts w:ascii="Times New Roman" w:hAnsi="Times New Roman"/>
          <w:sz w:val="28"/>
          <w:szCs w:val="28"/>
          <w:lang w:val="fr-FR"/>
        </w:rPr>
      </w:pPr>
      <w:r w:rsidRPr="00835B65">
        <w:rPr>
          <w:rFonts w:ascii="Times New Roman" w:hAnsi="Times New Roman"/>
          <w:b/>
          <w:sz w:val="28"/>
          <w:szCs w:val="28"/>
          <w:lang w:val="fr-FR"/>
        </w:rPr>
        <w:t>Contexte général</w:t>
      </w:r>
    </w:p>
    <w:p w:rsidR="00DA259E" w:rsidRDefault="00DA259E" w:rsidP="00DA259E">
      <w:pPr>
        <w:rPr>
          <w:sz w:val="28"/>
          <w:szCs w:val="28"/>
          <w:lang w:val="fr-FR"/>
        </w:rPr>
      </w:pPr>
    </w:p>
    <w:p w:rsidR="00DA259E" w:rsidRPr="00835B65" w:rsidRDefault="00DA259E" w:rsidP="00DA259E">
      <w:pPr>
        <w:jc w:val="both"/>
        <w:rPr>
          <w:sz w:val="22"/>
          <w:szCs w:val="22"/>
          <w:lang w:val="fr-FR"/>
        </w:rPr>
      </w:pPr>
      <w:r w:rsidRPr="00835B65">
        <w:rPr>
          <w:sz w:val="22"/>
          <w:szCs w:val="22"/>
          <w:lang w:val="fr-FR"/>
        </w:rPr>
        <w:t>La politique de défense de la France a été fortement bouleversée ces dernières années, entre retour, en avril 2009, dans la structure intégrée de l’Alliance atlantique</w:t>
      </w:r>
      <w:r w:rsidRPr="00835B65">
        <w:rPr>
          <w:rStyle w:val="Appelnotedebasdep"/>
          <w:sz w:val="22"/>
          <w:szCs w:val="22"/>
        </w:rPr>
        <w:footnoteReference w:id="12"/>
      </w:r>
      <w:r w:rsidRPr="00835B65">
        <w:rPr>
          <w:sz w:val="22"/>
          <w:szCs w:val="22"/>
          <w:lang w:val="fr-FR"/>
        </w:rPr>
        <w:t>, opérations extérieures (Afghanistan, Libye, Mali), tensions budgétaires, débat nucléaire et élections présidentielles. Si le « retour » dans l’OTAN a été assimilé et accepté par les deux partis politiques principaux au nom des logiques de rationalité et d’intérêts, la place laissée à la Politique européenne de sécurité et de défense (PSDC) est moins facile à déterminer. Nicolas Sarkozy, alors président de la République, avait affirmé qu’il « conditionnerait un mouvement dans les structures intégrées par une avancée sur l’Europe de la défense »</w:t>
      </w:r>
      <w:r w:rsidRPr="00835B65">
        <w:rPr>
          <w:rStyle w:val="Appelnotedebasdep"/>
          <w:sz w:val="22"/>
          <w:szCs w:val="22"/>
        </w:rPr>
        <w:footnoteReference w:id="13"/>
      </w:r>
      <w:r w:rsidRPr="00835B65">
        <w:rPr>
          <w:sz w:val="22"/>
          <w:szCs w:val="22"/>
          <w:lang w:val="fr-FR"/>
        </w:rPr>
        <w:t xml:space="preserve"> mais en matière de renforcement de l’Europe de la défense et la rénovation de l’Alliance, les résultats se sont fait attendre. Pourtant, l’objectif était de j</w:t>
      </w:r>
      <w:r w:rsidRPr="00835B65">
        <w:rPr>
          <w:rFonts w:eastAsia="Calibri"/>
          <w:sz w:val="22"/>
          <w:szCs w:val="22"/>
          <w:lang w:val="fr-FR"/>
        </w:rPr>
        <w:t>ouer de l’effet d’entraînement</w:t>
      </w:r>
      <w:r w:rsidRPr="00835B65">
        <w:rPr>
          <w:rStyle w:val="Appelnotedebasdep"/>
          <w:sz w:val="22"/>
          <w:szCs w:val="22"/>
        </w:rPr>
        <w:footnoteReference w:id="14"/>
      </w:r>
      <w:r w:rsidRPr="00835B65">
        <w:rPr>
          <w:rFonts w:eastAsia="Calibri"/>
          <w:sz w:val="22"/>
          <w:szCs w:val="22"/>
          <w:lang w:val="fr-FR"/>
        </w:rPr>
        <w:t xml:space="preserve"> au profit de la PESD</w:t>
      </w:r>
      <w:r w:rsidRPr="00835B65">
        <w:rPr>
          <w:sz w:val="22"/>
          <w:szCs w:val="22"/>
          <w:lang w:val="fr-FR"/>
        </w:rPr>
        <w:t>/PSDC</w:t>
      </w:r>
      <w:r w:rsidRPr="00835B65">
        <w:rPr>
          <w:rFonts w:eastAsia="Calibri"/>
          <w:sz w:val="22"/>
          <w:szCs w:val="22"/>
          <w:lang w:val="fr-FR"/>
        </w:rPr>
        <w:t xml:space="preserve"> et de l’OTAN dans une logique du « gagnant-gagnant »</w:t>
      </w:r>
      <w:r w:rsidRPr="00835B65">
        <w:rPr>
          <w:sz w:val="22"/>
          <w:szCs w:val="22"/>
          <w:lang w:val="fr-FR"/>
        </w:rPr>
        <w:t>,</w:t>
      </w:r>
      <w:r w:rsidRPr="00835B65">
        <w:rPr>
          <w:rFonts w:eastAsia="Calibri"/>
          <w:sz w:val="22"/>
          <w:szCs w:val="22"/>
          <w:lang w:val="fr-FR"/>
        </w:rPr>
        <w:t xml:space="preserve"> tout en revisitant et en approfondissant l’esprit de Saint-Malo</w:t>
      </w:r>
      <w:r w:rsidRPr="00835B65">
        <w:rPr>
          <w:rStyle w:val="Appelnotedebasdep"/>
          <w:sz w:val="22"/>
          <w:szCs w:val="22"/>
        </w:rPr>
        <w:footnoteReference w:id="15"/>
      </w:r>
      <w:r w:rsidRPr="00835B65">
        <w:rPr>
          <w:sz w:val="22"/>
          <w:szCs w:val="22"/>
          <w:lang w:val="fr-FR"/>
        </w:rPr>
        <w:t>.</w:t>
      </w:r>
    </w:p>
    <w:p w:rsidR="00DA259E" w:rsidRPr="00835B65" w:rsidRDefault="00DA259E" w:rsidP="00DA259E">
      <w:pPr>
        <w:jc w:val="both"/>
        <w:rPr>
          <w:sz w:val="22"/>
          <w:szCs w:val="22"/>
          <w:lang w:val="fr-FR"/>
        </w:rPr>
      </w:pPr>
    </w:p>
    <w:p w:rsidR="00DA259E" w:rsidRPr="00835B65" w:rsidRDefault="00DA259E" w:rsidP="00DA259E">
      <w:pPr>
        <w:jc w:val="both"/>
        <w:rPr>
          <w:sz w:val="22"/>
          <w:szCs w:val="22"/>
          <w:lang w:val="fr-FR"/>
        </w:rPr>
      </w:pPr>
      <w:r w:rsidRPr="00835B65">
        <w:rPr>
          <w:sz w:val="22"/>
          <w:szCs w:val="22"/>
          <w:lang w:val="fr-FR"/>
        </w:rPr>
        <w:t>Si une logique européiste « apaisée »</w:t>
      </w:r>
      <w:r w:rsidRPr="00835B65">
        <w:rPr>
          <w:rStyle w:val="Appelnotedebasdep"/>
          <w:sz w:val="22"/>
          <w:szCs w:val="22"/>
        </w:rPr>
        <w:footnoteReference w:id="16"/>
      </w:r>
      <w:r w:rsidRPr="00835B65">
        <w:rPr>
          <w:sz w:val="22"/>
          <w:szCs w:val="22"/>
          <w:lang w:val="fr-FR"/>
        </w:rPr>
        <w:t>, sur fond de normalisation franco-otanienne, devait pouvoir renforcer la PSDC qui, elle-même, ne peut plus être concurrentielle mais complémentaire à l’Alliance atlantique, la politique de sécurité-défense de l’Union européenne ne fut pas favorisée.</w:t>
      </w:r>
    </w:p>
    <w:p w:rsidR="00DA259E" w:rsidRPr="00835B65" w:rsidRDefault="00DA259E" w:rsidP="00DA259E">
      <w:pPr>
        <w:jc w:val="both"/>
        <w:rPr>
          <w:sz w:val="22"/>
          <w:szCs w:val="22"/>
          <w:lang w:val="fr-FR"/>
        </w:rPr>
      </w:pPr>
    </w:p>
    <w:p w:rsidR="00DA259E" w:rsidRPr="00835B65" w:rsidRDefault="00DA259E" w:rsidP="00DA259E">
      <w:pPr>
        <w:jc w:val="both"/>
        <w:rPr>
          <w:sz w:val="22"/>
          <w:szCs w:val="22"/>
          <w:lang w:val="fr-FR"/>
        </w:rPr>
      </w:pPr>
      <w:r w:rsidRPr="00835B65">
        <w:rPr>
          <w:sz w:val="22"/>
          <w:szCs w:val="22"/>
          <w:lang w:val="fr-FR"/>
        </w:rPr>
        <w:t xml:space="preserve">Les nouvelles synergies franco-otaniennes, qui rassurent les autres partenaires européens, avaient davantage pour objectifs d’améliorer l’interopérabilité française avec l’Alliance, d’obtenir des postes à responsabilité au plus haut niveau, de réduire les coûts et de traduire une autre vision idéologique autour du président Sarkozy. Mais le </w:t>
      </w:r>
      <w:r w:rsidRPr="00835B65">
        <w:rPr>
          <w:i/>
          <w:sz w:val="22"/>
          <w:szCs w:val="22"/>
          <w:lang w:val="fr-FR"/>
        </w:rPr>
        <w:t>deal</w:t>
      </w:r>
      <w:r w:rsidRPr="00835B65">
        <w:rPr>
          <w:sz w:val="22"/>
          <w:szCs w:val="22"/>
          <w:lang w:val="fr-FR"/>
        </w:rPr>
        <w:t xml:space="preserve"> entre le rapprochement avec l’OTAN et l’accélération de la mise en œuvre de la PSDC n’a pas été vraiment réalisé, qu’il s’agisse de l’édification d’un véritable quartier général européen, la montée en puissance de l’Agence européenne de défense (AED) ou une plus forte implication des Européens aux opérations et missions européennes. Aussi, « une</w:t>
      </w:r>
      <w:r w:rsidRPr="00835B65">
        <w:rPr>
          <w:i/>
          <w:sz w:val="22"/>
          <w:szCs w:val="22"/>
          <w:lang w:val="fr-FR"/>
        </w:rPr>
        <w:t xml:space="preserve"> </w:t>
      </w:r>
      <w:r w:rsidRPr="00835B65">
        <w:rPr>
          <w:sz w:val="22"/>
          <w:szCs w:val="22"/>
          <w:lang w:val="fr-FR"/>
        </w:rPr>
        <w:t>Europe de la défense crédible et forte au sein d’une Alliance rénovée »</w:t>
      </w:r>
      <w:r w:rsidRPr="00835B65">
        <w:rPr>
          <w:rStyle w:val="Appelnotedebasdep"/>
          <w:sz w:val="22"/>
          <w:szCs w:val="22"/>
        </w:rPr>
        <w:footnoteReference w:id="17"/>
      </w:r>
      <w:r w:rsidRPr="00835B65">
        <w:rPr>
          <w:sz w:val="22"/>
          <w:szCs w:val="22"/>
          <w:lang w:val="fr-FR"/>
        </w:rPr>
        <w:t>, telle que souhaitée par le président Sarkozy, ne fut pas au rendez-vous.</w:t>
      </w:r>
    </w:p>
    <w:p w:rsidR="00DA259E" w:rsidRPr="00835B65" w:rsidRDefault="00DA259E" w:rsidP="00DA259E">
      <w:pPr>
        <w:rPr>
          <w:sz w:val="22"/>
          <w:szCs w:val="22"/>
          <w:lang w:val="fr-FR"/>
        </w:rPr>
      </w:pPr>
    </w:p>
    <w:p w:rsidR="00DA259E" w:rsidRPr="007F7F52" w:rsidRDefault="00DA259E" w:rsidP="00DA259E">
      <w:pPr>
        <w:jc w:val="both"/>
        <w:rPr>
          <w:sz w:val="22"/>
          <w:szCs w:val="22"/>
          <w:lang w:val="fr-FR"/>
        </w:rPr>
      </w:pPr>
      <w:r w:rsidRPr="00835B65">
        <w:rPr>
          <w:rFonts w:eastAsia="Calibri"/>
          <w:sz w:val="22"/>
          <w:szCs w:val="22"/>
          <w:lang w:val="fr-FR"/>
        </w:rPr>
        <w:t xml:space="preserve">Certes, plus d’Europe pour plus d’OTAN, le pari </w:t>
      </w:r>
      <w:r w:rsidRPr="00835B65">
        <w:rPr>
          <w:sz w:val="22"/>
          <w:szCs w:val="22"/>
          <w:lang w:val="fr-FR"/>
        </w:rPr>
        <w:t>fut et reste</w:t>
      </w:r>
      <w:r w:rsidRPr="00835B65">
        <w:rPr>
          <w:rFonts w:eastAsia="Calibri"/>
          <w:sz w:val="22"/>
          <w:szCs w:val="22"/>
          <w:lang w:val="fr-FR"/>
        </w:rPr>
        <w:t xml:space="preserve"> comp</w:t>
      </w:r>
      <w:r w:rsidRPr="00835B65">
        <w:rPr>
          <w:sz w:val="22"/>
          <w:szCs w:val="22"/>
          <w:lang w:val="fr-FR"/>
        </w:rPr>
        <w:t>lexe.</w:t>
      </w:r>
      <w:r w:rsidRPr="00835B65">
        <w:rPr>
          <w:rFonts w:eastAsia="Calibri"/>
          <w:sz w:val="22"/>
          <w:szCs w:val="22"/>
          <w:lang w:val="fr-FR"/>
        </w:rPr>
        <w:t xml:space="preserve"> La difficulté tient des relations franco-américaines, mais également du poids respectif des alliés européens dans l’OTAN. Et les trois </w:t>
      </w:r>
      <w:r w:rsidRPr="007F7F52">
        <w:rPr>
          <w:rFonts w:eastAsia="Calibri"/>
          <w:sz w:val="22"/>
          <w:szCs w:val="22"/>
          <w:lang w:val="fr-FR"/>
        </w:rPr>
        <w:lastRenderedPageBreak/>
        <w:t>grandes questions de l’époque mitterrandienne restent encore d’actualité</w:t>
      </w:r>
      <w:r w:rsidRPr="007F7F52">
        <w:rPr>
          <w:rStyle w:val="Appelnotedebasdep"/>
          <w:sz w:val="22"/>
          <w:szCs w:val="22"/>
        </w:rPr>
        <w:footnoteReference w:id="18"/>
      </w:r>
      <w:r w:rsidRPr="007F7F52">
        <w:rPr>
          <w:rFonts w:eastAsia="Calibri"/>
          <w:sz w:val="22"/>
          <w:szCs w:val="22"/>
          <w:lang w:val="fr-FR"/>
        </w:rPr>
        <w:t> : comment réconcilier le statut particulier de la France et sa participation croissante dans les nombreuses activités de l’Alliance ? Comment peser sur les évolutions de l’institution atlantique ? Et enfin, comment faire émerger une défense européenne digne de ce nom ?</w:t>
      </w:r>
    </w:p>
    <w:p w:rsidR="00DA259E" w:rsidRPr="007F7F52" w:rsidRDefault="00DA259E" w:rsidP="00DA259E">
      <w:pPr>
        <w:jc w:val="both"/>
        <w:rPr>
          <w:sz w:val="22"/>
          <w:szCs w:val="22"/>
          <w:lang w:val="fr-FR"/>
        </w:rPr>
      </w:pPr>
    </w:p>
    <w:p w:rsidR="00DA259E" w:rsidRPr="007F7F52" w:rsidRDefault="00DA259E" w:rsidP="00DA259E">
      <w:pPr>
        <w:jc w:val="both"/>
        <w:rPr>
          <w:sz w:val="22"/>
          <w:szCs w:val="22"/>
          <w:lang w:val="fr-FR"/>
        </w:rPr>
      </w:pPr>
      <w:r w:rsidRPr="007F7F52">
        <w:rPr>
          <w:sz w:val="22"/>
          <w:szCs w:val="22"/>
          <w:lang w:val="fr-FR"/>
        </w:rPr>
        <w:t xml:space="preserve">Les discours électoraux autour des présidentielles de 2012 furent de bons indicateurs des positionnements français à venir. Dans un article commandé par </w:t>
      </w:r>
      <w:r w:rsidRPr="007F7F52">
        <w:rPr>
          <w:i/>
          <w:sz w:val="22"/>
          <w:szCs w:val="22"/>
          <w:lang w:val="fr-FR"/>
        </w:rPr>
        <w:t>la Revue de Défense nationale</w:t>
      </w:r>
      <w:r w:rsidRPr="007F7F52">
        <w:rPr>
          <w:rStyle w:val="Appelnotedebasdep"/>
          <w:sz w:val="22"/>
          <w:szCs w:val="22"/>
        </w:rPr>
        <w:footnoteReference w:id="19"/>
      </w:r>
      <w:r w:rsidRPr="007F7F52">
        <w:rPr>
          <w:sz w:val="22"/>
          <w:szCs w:val="22"/>
          <w:lang w:val="fr-FR"/>
        </w:rPr>
        <w:t>, le candidat Nicolas Sarkozy défend la réintégration au sein du commandement intégré de l’OTAN et considère qu’il faut poursuivre et renforcer les actions entreprises</w:t>
      </w:r>
      <w:r w:rsidRPr="007F7F52">
        <w:rPr>
          <w:rStyle w:val="Appelnotedebasdep"/>
          <w:sz w:val="22"/>
          <w:szCs w:val="22"/>
        </w:rPr>
        <w:footnoteReference w:id="20"/>
      </w:r>
      <w:r w:rsidRPr="007F7F52">
        <w:rPr>
          <w:sz w:val="22"/>
          <w:szCs w:val="22"/>
          <w:lang w:val="fr-FR"/>
        </w:rPr>
        <w:t xml:space="preserve">, qu’il s’agisse de l’OTAN ou de l’Europe. Parallèlement, le candidat François Hollande précise que « l’alternance politique en France devra être l’occasion d’une vigoureuse relance de la construction de la défense européenne ». Et de citer, comme objectifs, la définition des contours d’une vision commune et d’une mise en cohérence des politiques, la convergence avec tous les partenaires européens, la dynamisation des organes de la PSDC et la base industrielle et technologique de défense (BITD). </w:t>
      </w:r>
    </w:p>
    <w:p w:rsidR="00DA259E" w:rsidRPr="007F7F52" w:rsidRDefault="00DA259E" w:rsidP="00DA259E">
      <w:pPr>
        <w:jc w:val="both"/>
        <w:rPr>
          <w:sz w:val="22"/>
          <w:szCs w:val="22"/>
          <w:lang w:val="fr-FR"/>
        </w:rPr>
      </w:pPr>
    </w:p>
    <w:p w:rsidR="00DA259E" w:rsidRPr="007F7F52" w:rsidRDefault="00DA259E" w:rsidP="00DA259E">
      <w:pPr>
        <w:jc w:val="both"/>
        <w:rPr>
          <w:sz w:val="22"/>
          <w:szCs w:val="22"/>
          <w:lang w:val="fr-FR"/>
        </w:rPr>
      </w:pPr>
      <w:r w:rsidRPr="007F7F52">
        <w:rPr>
          <w:sz w:val="22"/>
          <w:szCs w:val="22"/>
          <w:lang w:val="fr-FR"/>
        </w:rPr>
        <w:t>À propos de l’OTAN, il s’agira d’évaluer les bénéfices tirés de la décision de 2009. À la même époque, d’autres interlocuteurs intervinrent également pour poser plusieurs pistes européistes : programmations communes en matière d’équipements avec quelques partenaires (Louis Gautier, expert défense, PS, 8 février 2012), accélérer la mutualisation des moyens (Alain Juppé, ministre français des Affaires étrangères, UMP, 15 février 2012), conduire la politique européenne de défense aussi à travers l’OTAN (Gérard Longuet, alors ministre français de la Défense, 8 mars 2012).</w:t>
      </w:r>
    </w:p>
    <w:p w:rsidR="00DA259E" w:rsidRPr="007F7F52" w:rsidRDefault="00DA259E" w:rsidP="00DA259E">
      <w:pPr>
        <w:jc w:val="both"/>
        <w:rPr>
          <w:sz w:val="22"/>
          <w:szCs w:val="22"/>
          <w:lang w:val="fr-FR"/>
        </w:rPr>
      </w:pPr>
    </w:p>
    <w:p w:rsidR="00DA259E" w:rsidRPr="007F7F52" w:rsidRDefault="00DA259E" w:rsidP="00DA259E">
      <w:pPr>
        <w:jc w:val="both"/>
        <w:rPr>
          <w:sz w:val="22"/>
          <w:szCs w:val="22"/>
          <w:lang w:val="fr-FR"/>
        </w:rPr>
      </w:pPr>
      <w:r w:rsidRPr="007F7F52">
        <w:rPr>
          <w:sz w:val="22"/>
          <w:szCs w:val="22"/>
          <w:lang w:val="fr-FR"/>
        </w:rPr>
        <w:t>À la suite des élections, les responsables politiques ainsi que le nouveau président de la République, François Hollande, ont posé un certain nombre de démarches autour de la révision de la politique de sécurité-défense hexagonale. En dehors du lancement des travaux autour du Livre blanc (</w:t>
      </w:r>
      <w:r w:rsidRPr="007F7F52">
        <w:rPr>
          <w:i/>
          <w:sz w:val="22"/>
          <w:szCs w:val="22"/>
          <w:lang w:val="fr-FR"/>
        </w:rPr>
        <w:t>cf</w:t>
      </w:r>
      <w:r w:rsidRPr="007F7F52">
        <w:rPr>
          <w:sz w:val="22"/>
          <w:szCs w:val="22"/>
          <w:lang w:val="fr-FR"/>
        </w:rPr>
        <w:t>. infra), certains actes et discours du gouvernement français sont autant d’indicateurs en matière de positionnement au sujet de la place accordée aux organisations multinationales.</w:t>
      </w:r>
    </w:p>
    <w:p w:rsidR="00DA259E" w:rsidRPr="007F7F52" w:rsidRDefault="00DA259E" w:rsidP="00DA259E">
      <w:pPr>
        <w:jc w:val="both"/>
        <w:rPr>
          <w:sz w:val="22"/>
          <w:szCs w:val="22"/>
          <w:lang w:val="fr-FR"/>
        </w:rPr>
      </w:pPr>
    </w:p>
    <w:p w:rsidR="00DA259E" w:rsidRPr="007F7F52" w:rsidRDefault="00DA259E" w:rsidP="00DA259E">
      <w:pPr>
        <w:jc w:val="both"/>
        <w:rPr>
          <w:sz w:val="22"/>
          <w:szCs w:val="22"/>
          <w:lang w:val="fr-FR"/>
        </w:rPr>
      </w:pPr>
      <w:r w:rsidRPr="007F7F52">
        <w:rPr>
          <w:sz w:val="22"/>
          <w:szCs w:val="22"/>
          <w:lang w:val="fr-FR"/>
        </w:rPr>
        <w:t>Jean-Yves Le Drian, nouveau ministre français de la Défense, a réalisé durant l’été 2012 une tournée européenne destinée à revitaliser l’Europe de la défense</w:t>
      </w:r>
      <w:r w:rsidRPr="007F7F52">
        <w:rPr>
          <w:rStyle w:val="Appelnotedebasdep"/>
          <w:sz w:val="22"/>
          <w:szCs w:val="22"/>
        </w:rPr>
        <w:footnoteReference w:id="21"/>
      </w:r>
      <w:r w:rsidRPr="007F7F52">
        <w:rPr>
          <w:sz w:val="22"/>
          <w:szCs w:val="22"/>
          <w:lang w:val="fr-FR"/>
        </w:rPr>
        <w:t>. L’occupant de l’hôtel de Brienne a estimé que la décision de Sarkozy</w:t>
      </w:r>
      <w:r w:rsidR="009E0F2C">
        <w:rPr>
          <w:sz w:val="22"/>
          <w:szCs w:val="22"/>
          <w:lang w:val="fr-FR"/>
        </w:rPr>
        <w:t xml:space="preserve"> de retour dans les organes intégrés de </w:t>
      </w:r>
      <w:proofErr w:type="gramStart"/>
      <w:r w:rsidR="009E0F2C">
        <w:rPr>
          <w:sz w:val="22"/>
          <w:szCs w:val="22"/>
          <w:lang w:val="fr-FR"/>
        </w:rPr>
        <w:t xml:space="preserve">l’OTAN </w:t>
      </w:r>
      <w:r w:rsidRPr="007F7F52">
        <w:rPr>
          <w:sz w:val="22"/>
          <w:szCs w:val="22"/>
          <w:lang w:val="fr-FR"/>
        </w:rPr>
        <w:t>,</w:t>
      </w:r>
      <w:proofErr w:type="gramEnd"/>
      <w:r w:rsidRPr="007F7F52">
        <w:rPr>
          <w:sz w:val="22"/>
          <w:szCs w:val="22"/>
          <w:lang w:val="fr-FR"/>
        </w:rPr>
        <w:t xml:space="preserve"> « qui avait été présentée comme un préalable à l’approfondissement de l’Europe de la défense, […] a conduit au contraire à l’affaiblir en décourageant les partenaires européens qui ont toujours vu en la France un moteur à la construction d’une Europe de la défense ». L’idée serait de rééquilibrer l’action française en faveur de l’Europe. Pour Le Drian, c’est le moment de la relance de l’Europe de la défense et l’Europe doit être productrice de sécurité, au sens où elle assume sa propre sécurité :</w:t>
      </w:r>
    </w:p>
    <w:p w:rsidR="00DA259E" w:rsidRPr="007F7F52" w:rsidRDefault="00DA259E" w:rsidP="00DA259E">
      <w:pPr>
        <w:jc w:val="both"/>
        <w:rPr>
          <w:sz w:val="22"/>
          <w:szCs w:val="22"/>
          <w:lang w:val="fr-FR"/>
        </w:rPr>
      </w:pPr>
    </w:p>
    <w:p w:rsidR="00DA259E" w:rsidRPr="007F7F52" w:rsidRDefault="00DA259E" w:rsidP="00DA259E">
      <w:pPr>
        <w:pStyle w:val="NormalWeb"/>
        <w:jc w:val="both"/>
        <w:rPr>
          <w:rFonts w:ascii="Times New Roman" w:hAnsi="Times New Roman" w:cs="Times New Roman"/>
          <w:i/>
          <w:sz w:val="22"/>
          <w:szCs w:val="22"/>
        </w:rPr>
      </w:pPr>
      <w:r w:rsidRPr="007F7F52">
        <w:rPr>
          <w:rFonts w:ascii="Times New Roman" w:hAnsi="Times New Roman" w:cs="Times New Roman"/>
          <w:i/>
          <w:sz w:val="22"/>
          <w:szCs w:val="22"/>
        </w:rPr>
        <w:t xml:space="preserve"> « Au sommet de l’OTAN de Chicago, il s’est dit des choses qui ne s’étaient jamais dites avant sur l’importance d’une défense européenne plus forte et plus performante. Cette nécessité devient encore plus incontournable avec les nouvelles positions américaines qui sont, de ce point de vue, incitatives. […] Nous allons prendre des initiatives. D’une part, auprès de la Grande-Bretagne, pour que l’application du traité de Lancaster House se fasse. Nous l’assumons, mais il faut l’ouvrir à d’autres partenaires. […] D’autre part, nous travaillerons autour du couple franco-allemand et du triangle de Weimar avec nos amis polonais, en y</w:t>
      </w:r>
      <w:r w:rsidRPr="007F7F52">
        <w:rPr>
          <w:rFonts w:ascii="Times New Roman" w:hAnsi="Times New Roman" w:cs="Times New Roman"/>
          <w:sz w:val="22"/>
          <w:szCs w:val="22"/>
        </w:rPr>
        <w:t xml:space="preserve"> </w:t>
      </w:r>
      <w:r w:rsidRPr="007F7F52">
        <w:rPr>
          <w:rFonts w:ascii="Times New Roman" w:hAnsi="Times New Roman" w:cs="Times New Roman"/>
          <w:i/>
          <w:sz w:val="22"/>
          <w:szCs w:val="22"/>
        </w:rPr>
        <w:t xml:space="preserve">associant tous ceux qui veulent contribuer. Il faut d’abord recréer l’esprit, il n’existe plus. Puis établir les points concrets de mise en œuvre. Cela peut donner lieu à une spécialisation des tâches, un renforcement de </w:t>
      </w:r>
      <w:r w:rsidRPr="007F7F52">
        <w:rPr>
          <w:rFonts w:ascii="Times New Roman" w:hAnsi="Times New Roman" w:cs="Times New Roman"/>
          <w:i/>
          <w:sz w:val="22"/>
          <w:szCs w:val="22"/>
        </w:rPr>
        <w:lastRenderedPageBreak/>
        <w:t>capacités communes, une programmation d’équipements</w:t>
      </w:r>
      <w:r w:rsidRPr="007F7F52">
        <w:rPr>
          <w:rFonts w:ascii="Times New Roman" w:hAnsi="Times New Roman" w:cs="Times New Roman"/>
          <w:sz w:val="22"/>
          <w:szCs w:val="22"/>
        </w:rPr>
        <w:t xml:space="preserve"> </w:t>
      </w:r>
      <w:r w:rsidRPr="007F7F52">
        <w:rPr>
          <w:rFonts w:ascii="Times New Roman" w:hAnsi="Times New Roman" w:cs="Times New Roman"/>
          <w:i/>
          <w:sz w:val="22"/>
          <w:szCs w:val="22"/>
        </w:rPr>
        <w:t>futurs... Nous ne voulons pas</w:t>
      </w:r>
      <w:r w:rsidRPr="00DA259E">
        <w:rPr>
          <w:rFonts w:asciiTheme="minorHAnsi" w:hAnsiTheme="minorHAnsi" w:cstheme="minorHAnsi"/>
          <w:i/>
          <w:sz w:val="20"/>
          <w:szCs w:val="20"/>
        </w:rPr>
        <w:t xml:space="preserve"> d’une forme d’abandon. </w:t>
      </w:r>
      <w:r w:rsidRPr="007F7F52">
        <w:rPr>
          <w:rFonts w:ascii="Times New Roman" w:hAnsi="Times New Roman" w:cs="Times New Roman"/>
          <w:i/>
          <w:sz w:val="22"/>
          <w:szCs w:val="22"/>
        </w:rPr>
        <w:t>Si nous ne prenons pas les initiatives, qui le fera ? Par ailleurs, il serait opportun de relancer l’idée d’une stratégie européenne de sécurité, pour qu’il y ait une doctrine commune sur les intérêts et les objectifs. »</w:t>
      </w:r>
      <w:r w:rsidRPr="007F7F52">
        <w:rPr>
          <w:rStyle w:val="Appelnotedebasdep"/>
          <w:rFonts w:ascii="Times New Roman" w:hAnsi="Times New Roman" w:cs="Times New Roman"/>
          <w:sz w:val="22"/>
          <w:szCs w:val="22"/>
        </w:rPr>
        <w:footnoteReference w:id="22"/>
      </w:r>
    </w:p>
    <w:p w:rsidR="00DA259E" w:rsidRPr="007F7F52" w:rsidRDefault="00DA259E" w:rsidP="00DA259E">
      <w:pPr>
        <w:rPr>
          <w:sz w:val="22"/>
          <w:szCs w:val="22"/>
          <w:lang w:val="fr-FR"/>
        </w:rPr>
      </w:pPr>
    </w:p>
    <w:p w:rsidR="00DA259E" w:rsidRPr="007F7F52" w:rsidRDefault="00DA259E" w:rsidP="00DA259E">
      <w:pPr>
        <w:rPr>
          <w:sz w:val="22"/>
          <w:szCs w:val="22"/>
          <w:lang w:val="fr-FR"/>
        </w:rPr>
      </w:pPr>
      <w:r w:rsidRPr="007F7F52">
        <w:rPr>
          <w:sz w:val="22"/>
          <w:szCs w:val="22"/>
          <w:lang w:val="fr-FR"/>
        </w:rPr>
        <w:t>Lors des vœux aux armées du président de la République, le 9 janvier 2013, il fut question de la formation des forces armées maliennes avec l’Union européenne mais aussi de plusieurs éléments concernant l’UE et l’Alliance :</w:t>
      </w:r>
    </w:p>
    <w:p w:rsidR="00DA259E" w:rsidRPr="007F7F52" w:rsidRDefault="00DA259E" w:rsidP="00DA259E">
      <w:pPr>
        <w:rPr>
          <w:sz w:val="22"/>
          <w:szCs w:val="22"/>
          <w:lang w:val="fr-FR"/>
        </w:rPr>
      </w:pPr>
    </w:p>
    <w:p w:rsidR="00DA259E" w:rsidRPr="007F7F52" w:rsidRDefault="00DA259E" w:rsidP="00DA259E">
      <w:pPr>
        <w:jc w:val="both"/>
        <w:rPr>
          <w:i/>
          <w:sz w:val="22"/>
          <w:szCs w:val="22"/>
          <w:lang w:val="fr-BE"/>
        </w:rPr>
      </w:pPr>
      <w:r w:rsidRPr="007F7F52">
        <w:rPr>
          <w:i/>
          <w:sz w:val="22"/>
          <w:szCs w:val="22"/>
          <w:lang w:val="fr-FR"/>
        </w:rPr>
        <w:t>« L’ensemble de ces enjeux, de ces risques, de ces menaces, de ces protections doivent être traités dans le cadre de nos alliances. À cet égard, je fais largement miennes les conclusions d’un rapport que j’avais commandé à l’ancien ministre des Affaires étrangères, Hubert Védrine</w:t>
      </w:r>
      <w:r w:rsidRPr="007F7F52">
        <w:rPr>
          <w:rStyle w:val="Appelnotedebasdep"/>
          <w:i/>
          <w:sz w:val="22"/>
          <w:szCs w:val="22"/>
        </w:rPr>
        <w:footnoteReference w:id="23"/>
      </w:r>
      <w:r w:rsidRPr="007F7F52">
        <w:rPr>
          <w:i/>
          <w:sz w:val="22"/>
          <w:szCs w:val="22"/>
          <w:lang w:val="fr-FR"/>
        </w:rPr>
        <w:t> ; conclusions qui vont dans le sens d’assumer pleinement la présence de la France dans l’Alliance atlantique et dans l’organisation militaire qui lui est attachée, et d’être à l’initiative et de faire en sorte que nous puissions engager une responsabilité accrue de l’Europe dans cette alliance. D’importants efforts ont été entrepris depuis sept mois dans le sens de l’Europe de la défense. J’insiste beaucoup pour que nous mettions nos capacités en commun, que nous renforcions l’industrie européenne de défense, mais aussi que nous puissions participer ensemble à des opérations. L’année 2013 sera ainsi marquée par la préparation d’un Conseil européen très important qui se situera à la fin de l’année, où nous aurons à nous prononcer pour des avancées sur la Politique européenne de sécurité et de défense commune. La France y prendra toute sa part. Dans quelques semaines à peine, nous célébrerons le cinquantième anniversaire du traité de l’Élysée […]. Je veux donner à cette célébration un caractère historique, mais aussi un caractère prospectif. Que pouvons-nous faire, français et allemands ensemble ? […] Mais nous avons des responsabilités au nom de l’Europe et y compris pour l’Europe de la défense. Je voudrais que ce moment puisse consacrer une nouvelle étape dans nos rapports et une nouvelle construction de l’Europe de la défense. »</w:t>
      </w:r>
    </w:p>
    <w:p w:rsidR="00DA259E" w:rsidRPr="007F7F52" w:rsidRDefault="00DA259E" w:rsidP="00DA259E">
      <w:pPr>
        <w:rPr>
          <w:sz w:val="22"/>
          <w:szCs w:val="22"/>
          <w:lang w:val="fr-FR"/>
        </w:rPr>
      </w:pPr>
    </w:p>
    <w:p w:rsidR="00DA259E" w:rsidRPr="007F7F52" w:rsidRDefault="00DA259E" w:rsidP="00DA259E">
      <w:pPr>
        <w:jc w:val="both"/>
        <w:rPr>
          <w:sz w:val="22"/>
          <w:szCs w:val="22"/>
          <w:lang w:val="fr-FR"/>
        </w:rPr>
      </w:pPr>
      <w:r w:rsidRPr="007F7F52">
        <w:rPr>
          <w:sz w:val="22"/>
          <w:szCs w:val="22"/>
          <w:lang w:val="fr-FR"/>
        </w:rPr>
        <w:t>Deux jours plus tard, lors des vœux au corps diplomatique du président de la République, les premiers mots concernèrent la poursuite de la consolidation de l’Europe, la mission que la France se donne en tant que trait d’union entre l’Europe du Nord et l’Europe du Sud, l’Europe de l’Ouest et l’Europe de l’Est, l’importance de la relation exceptionnelle avec l’Allemagne et celle de réunir les États partenaires de l’Union dans l’esprit communautaire.</w:t>
      </w:r>
    </w:p>
    <w:p w:rsidR="00DA259E" w:rsidRPr="007F7F52" w:rsidRDefault="00DA259E" w:rsidP="00DA259E">
      <w:pPr>
        <w:jc w:val="both"/>
        <w:rPr>
          <w:sz w:val="22"/>
          <w:szCs w:val="22"/>
          <w:lang w:val="fr-FR"/>
        </w:rPr>
      </w:pPr>
    </w:p>
    <w:p w:rsidR="00DA259E" w:rsidRPr="007F7F52" w:rsidRDefault="00DA259E" w:rsidP="00DA259E">
      <w:pPr>
        <w:jc w:val="both"/>
        <w:rPr>
          <w:sz w:val="22"/>
          <w:szCs w:val="22"/>
          <w:lang w:val="fr-FR"/>
        </w:rPr>
      </w:pPr>
      <w:r w:rsidRPr="007F7F52">
        <w:rPr>
          <w:sz w:val="22"/>
          <w:szCs w:val="22"/>
          <w:lang w:val="fr-FR"/>
        </w:rPr>
        <w:t>Le 24 mai 2013, François Hollande intervenait encore sur la politique de défense à l’Institut des hautes études de défense nationale (IHEDN) en reprenant une série d’éléments contenus dans le nouveau Livre blanc de la défense : nouer des alliances industrielles à l’échelle européenne, travailler avec l’UE pour répondre aux crises, ouvrir une nouvelle étape de l’Europe de la défense car « la nécessité partagée de redresser nos finances publiques nous invite à mutualiser des capacités, à prendre davantage d’initiatives et à nous appuyer sur les matériels fabriqués en coopération, en tenant compte des savoirs faire de chacun ».</w:t>
      </w:r>
    </w:p>
    <w:p w:rsidR="00DA259E" w:rsidRPr="007F7F52" w:rsidRDefault="00DA259E" w:rsidP="00DA259E">
      <w:pPr>
        <w:jc w:val="both"/>
        <w:rPr>
          <w:sz w:val="22"/>
          <w:szCs w:val="22"/>
          <w:lang w:val="fr-FR"/>
        </w:rPr>
      </w:pPr>
    </w:p>
    <w:p w:rsidR="00DA259E" w:rsidRPr="007F7F52" w:rsidRDefault="00DA259E" w:rsidP="00DA259E">
      <w:pPr>
        <w:jc w:val="both"/>
        <w:rPr>
          <w:i/>
          <w:sz w:val="22"/>
          <w:szCs w:val="22"/>
          <w:lang w:val="fr-FR"/>
        </w:rPr>
      </w:pPr>
      <w:r w:rsidRPr="007F7F52">
        <w:rPr>
          <w:i/>
          <w:sz w:val="22"/>
          <w:szCs w:val="22"/>
          <w:lang w:val="fr-FR"/>
        </w:rPr>
        <w:t xml:space="preserve">« C’est ce que la France fait déjà avec le Royaume Uni, pour construire notamment une force d’intervention conjointe. C’est aussi ce que la France veut faire avec l’Allemagne, y compris pour des opérations militaires extérieures. De même, je souhaite poursuivre nos partenariats avec la Belgique, l’Italie ou l’Espagne et associer les nouveaux membres de l’Union européenne à cette démarche. À commencer par la Pologne et les pays du groupe de Višegrad car l’Europe de la défense, cela doit être l’Europe toute entière, y compris celle qui hier était de l’autre côté. Je ferai des propositions d’ici le Conseil européen de décembre 2013. Elles porteront sur nos présences dans les Balkans, en Méditerranée, au Proche-Orient, en Asie. Partout, l’Europe doit agir de façon mieux coordonnée. Réfléchit-elle à ce que nous pourrions faire mieux et peut-être moins </w:t>
      </w:r>
      <w:proofErr w:type="gramStart"/>
      <w:r w:rsidRPr="007F7F52">
        <w:rPr>
          <w:i/>
          <w:sz w:val="22"/>
          <w:szCs w:val="22"/>
          <w:lang w:val="fr-FR"/>
        </w:rPr>
        <w:t>cher</w:t>
      </w:r>
      <w:proofErr w:type="gramEnd"/>
      <w:r w:rsidRPr="007F7F52">
        <w:rPr>
          <w:i/>
          <w:sz w:val="22"/>
          <w:szCs w:val="22"/>
          <w:lang w:val="fr-FR"/>
        </w:rPr>
        <w:t> ?</w:t>
      </w:r>
    </w:p>
    <w:p w:rsidR="00DA259E" w:rsidRPr="007F7F52" w:rsidRDefault="00DA259E" w:rsidP="00DA259E">
      <w:pPr>
        <w:jc w:val="both"/>
        <w:rPr>
          <w:i/>
          <w:sz w:val="22"/>
          <w:szCs w:val="22"/>
          <w:lang w:val="fr-FR"/>
        </w:rPr>
      </w:pPr>
    </w:p>
    <w:p w:rsidR="00DA259E" w:rsidRPr="007F7F52" w:rsidRDefault="00DA259E" w:rsidP="00DA259E">
      <w:pPr>
        <w:jc w:val="both"/>
        <w:rPr>
          <w:i/>
          <w:sz w:val="22"/>
          <w:szCs w:val="22"/>
          <w:lang w:val="fr-FR"/>
        </w:rPr>
      </w:pPr>
      <w:r w:rsidRPr="007F7F52">
        <w:rPr>
          <w:i/>
          <w:sz w:val="22"/>
          <w:szCs w:val="22"/>
          <w:lang w:val="fr-FR"/>
        </w:rPr>
        <w:t>Elles concerneront aussi nos coopérations dans les domaines du transport aérien, des satellites d’observation, du ravitaillement en vol, des drones pour ne citer que quelques exemples. Les échecs du passé ne doivent pas nous décourager mais au contraire nous inviter à persévérer. Notre ambition, c’est de promouvoir, pour l’industrie de défense européenne, des champions européens. C’est déterminant pour le maintien d’une base industrielle et technologique compétitive.</w:t>
      </w:r>
    </w:p>
    <w:p w:rsidR="00DA259E" w:rsidRPr="007F7F52" w:rsidRDefault="00DA259E" w:rsidP="00DA259E">
      <w:pPr>
        <w:jc w:val="both"/>
        <w:rPr>
          <w:i/>
          <w:sz w:val="22"/>
          <w:szCs w:val="22"/>
          <w:lang w:val="fr-FR"/>
        </w:rPr>
      </w:pPr>
      <w:r w:rsidRPr="007F7F52">
        <w:rPr>
          <w:i/>
          <w:sz w:val="22"/>
          <w:szCs w:val="22"/>
          <w:lang w:val="fr-FR"/>
        </w:rPr>
        <w:t>Le grand sujet pour l’Europe n’est pas simplement d’avoir un grand marché, d’avoir une zone monétaire stable. Cela ce sont des conditions. C’est d’avoir aussi une politique industrielle. Et dans la politique industrielle, il y a l’enjeu de la défense.</w:t>
      </w:r>
    </w:p>
    <w:p w:rsidR="00DA259E" w:rsidRPr="007F7F52" w:rsidRDefault="00DA259E" w:rsidP="00DA259E">
      <w:pPr>
        <w:jc w:val="both"/>
        <w:rPr>
          <w:sz w:val="22"/>
          <w:szCs w:val="22"/>
          <w:lang w:val="fr-FR"/>
        </w:rPr>
      </w:pPr>
    </w:p>
    <w:p w:rsidR="00DA259E" w:rsidRPr="007F7F52" w:rsidRDefault="00DA259E" w:rsidP="00DA259E">
      <w:pPr>
        <w:jc w:val="both"/>
        <w:rPr>
          <w:i/>
          <w:sz w:val="22"/>
          <w:szCs w:val="22"/>
          <w:lang w:val="fr-FR"/>
        </w:rPr>
      </w:pPr>
      <w:r w:rsidRPr="007F7F52">
        <w:rPr>
          <w:i/>
          <w:sz w:val="22"/>
          <w:szCs w:val="22"/>
          <w:lang w:val="fr-FR"/>
        </w:rPr>
        <w:t>La France est dans l’Europe mais elle agit aussi dans le cadre de l’OTAN. Le rapport présenté par Hubert Védrine […] m’a conduit à confirmer notre présence dans le commandement militaire intégré de l’Alliance atlantique, tout en intensifiant notre influence en son sein. Mais il ne s’agit pas de perdre notre liberté de décision et d’action et encore moins de diluer le caractère national de notre défense ».</w:t>
      </w:r>
    </w:p>
    <w:p w:rsidR="00DA259E" w:rsidRPr="007F7F52" w:rsidRDefault="00DA259E" w:rsidP="00DA259E">
      <w:pPr>
        <w:rPr>
          <w:sz w:val="22"/>
          <w:szCs w:val="22"/>
          <w:lang w:val="fr-FR"/>
        </w:rPr>
      </w:pPr>
    </w:p>
    <w:p w:rsidR="00DA259E" w:rsidRPr="007F7F52" w:rsidRDefault="00DA259E" w:rsidP="00DA259E">
      <w:pPr>
        <w:jc w:val="both"/>
        <w:rPr>
          <w:sz w:val="22"/>
          <w:szCs w:val="22"/>
          <w:lang w:val="fr-FR"/>
        </w:rPr>
      </w:pPr>
      <w:r w:rsidRPr="007F7F52">
        <w:rPr>
          <w:sz w:val="22"/>
          <w:szCs w:val="22"/>
          <w:lang w:val="fr-FR"/>
        </w:rPr>
        <w:t>Enfin, lors du discours du ministre des Affaires étrangères, M. Laurent Fabius, à l’Assemblée nationale, le 11 juillet 2013, il fut dit que les États européens sont dans l’obligation de « mutualiser, de partager, de trouver des points de cohérence ». Il s’agit de garantir une crédibilité générale, d’assurer la sécurité du continent et d’éviter le déclassement stratégique. Le ministre des Affaires étrangères cite également les opinions publiques, indiquant que les concitoyens français sont demandeurs d’Europe de la défense</w:t>
      </w:r>
      <w:r w:rsidRPr="007F7F52">
        <w:rPr>
          <w:rStyle w:val="Appelnotedebasdep"/>
          <w:sz w:val="22"/>
          <w:szCs w:val="22"/>
        </w:rPr>
        <w:footnoteReference w:id="24"/>
      </w:r>
      <w:r w:rsidRPr="007F7F52">
        <w:rPr>
          <w:sz w:val="22"/>
          <w:szCs w:val="22"/>
          <w:lang w:val="fr-FR"/>
        </w:rPr>
        <w:t>, perçue comme un facteur d’efficacité et d’économies. Il développe aussi les difficultés européennes dont l’insatisfaisante réactivité dans la réponse aux crises, l’absence d’évaluation commune des situations sur le terrain, les lacunes capacitaires</w:t>
      </w:r>
      <w:r w:rsidRPr="007F7F52">
        <w:rPr>
          <w:rStyle w:val="Appelnotedebasdep"/>
          <w:sz w:val="22"/>
          <w:szCs w:val="22"/>
        </w:rPr>
        <w:footnoteReference w:id="25"/>
      </w:r>
      <w:r w:rsidRPr="007F7F52">
        <w:rPr>
          <w:sz w:val="22"/>
          <w:szCs w:val="22"/>
          <w:lang w:val="fr-FR"/>
        </w:rPr>
        <w:t xml:space="preserve">, les incompréhensions et les malentendus en matière de coopération en armement, le différentiel d’intérêt à propos de l’Europe de la défense, le </w:t>
      </w:r>
      <w:r w:rsidR="009E0F2C">
        <w:rPr>
          <w:sz w:val="22"/>
          <w:szCs w:val="22"/>
          <w:lang w:val="fr-FR"/>
        </w:rPr>
        <w:t>cantonnant</w:t>
      </w:r>
      <w:r w:rsidRPr="007F7F52">
        <w:rPr>
          <w:sz w:val="22"/>
          <w:szCs w:val="22"/>
          <w:lang w:val="fr-FR"/>
        </w:rPr>
        <w:t xml:space="preserve"> pratiquement aux seules missions civiles. La méthode préconisée et qui sera proposée lors du Conseil européen de décembre 2013 doit passer par des avancées concrètes en partant de l’amélioration des outils et des structures en place, en évitant les débats trop institutionnels ou de doctrine. Il s’agira aussi de définir les priorités stratégiques de l’Union en matière de défense, nonobstant le maintien des intérêts spécifiques des nations.</w:t>
      </w:r>
    </w:p>
    <w:p w:rsidR="00DA259E" w:rsidRPr="007F7F52" w:rsidRDefault="00DA259E" w:rsidP="00DA259E">
      <w:pPr>
        <w:jc w:val="both"/>
        <w:rPr>
          <w:sz w:val="22"/>
          <w:szCs w:val="22"/>
          <w:lang w:val="fr-FR"/>
        </w:rPr>
      </w:pPr>
    </w:p>
    <w:p w:rsidR="00DA259E" w:rsidRPr="007F7F52" w:rsidRDefault="00DA259E" w:rsidP="00DA259E">
      <w:pPr>
        <w:rPr>
          <w:sz w:val="28"/>
          <w:szCs w:val="28"/>
          <w:lang w:val="fr-FR"/>
        </w:rPr>
      </w:pPr>
    </w:p>
    <w:p w:rsidR="00DA259E" w:rsidRPr="007F7F52" w:rsidRDefault="00DA259E" w:rsidP="00DA259E">
      <w:pPr>
        <w:pStyle w:val="Paragraphedeliste"/>
        <w:numPr>
          <w:ilvl w:val="0"/>
          <w:numId w:val="14"/>
        </w:numPr>
        <w:suppressAutoHyphens/>
        <w:spacing w:after="0"/>
        <w:contextualSpacing w:val="0"/>
        <w:jc w:val="left"/>
        <w:rPr>
          <w:rFonts w:ascii="Times New Roman" w:hAnsi="Times New Roman"/>
          <w:b/>
          <w:sz w:val="28"/>
          <w:szCs w:val="28"/>
          <w:lang w:val="fr-FR"/>
        </w:rPr>
      </w:pPr>
      <w:r w:rsidRPr="007F7F52">
        <w:rPr>
          <w:rFonts w:ascii="Times New Roman" w:hAnsi="Times New Roman"/>
          <w:b/>
          <w:sz w:val="28"/>
          <w:szCs w:val="28"/>
          <w:lang w:val="fr-FR"/>
        </w:rPr>
        <w:t>Processus et nouvelle méthode d’élaboration</w:t>
      </w:r>
    </w:p>
    <w:p w:rsidR="00DA259E" w:rsidRPr="007F7F52" w:rsidRDefault="00DA259E" w:rsidP="00DA259E">
      <w:pPr>
        <w:rPr>
          <w:b/>
          <w:sz w:val="28"/>
          <w:szCs w:val="28"/>
          <w:lang w:val="fr-FR"/>
        </w:rPr>
      </w:pPr>
    </w:p>
    <w:p w:rsidR="00DA259E" w:rsidRPr="007F7F52" w:rsidRDefault="00DA259E" w:rsidP="00895141">
      <w:pPr>
        <w:jc w:val="both"/>
        <w:rPr>
          <w:sz w:val="22"/>
          <w:szCs w:val="22"/>
          <w:lang w:val="fr-FR"/>
        </w:rPr>
      </w:pPr>
      <w:r w:rsidRPr="007F7F52">
        <w:rPr>
          <w:sz w:val="22"/>
          <w:szCs w:val="22"/>
          <w:lang w:val="fr-FR"/>
        </w:rPr>
        <w:t>La méthode d’élaboration du Livre blanc 2013 peut être déclinée en plusieurs temps : lettre de mission du président de la République au président de la commission du Livre blanc (13 juillet 2012), inscription au Journal officiel de la République française du décret portant création de la commission du Livre blanc sur la défense et la sécurité nationale (27 juillet 2012)</w:t>
      </w:r>
      <w:r w:rsidRPr="007F7F52">
        <w:rPr>
          <w:rStyle w:val="Appelnotedebasdep"/>
          <w:sz w:val="22"/>
          <w:szCs w:val="22"/>
        </w:rPr>
        <w:footnoteReference w:id="26"/>
      </w:r>
      <w:r w:rsidRPr="007F7F52">
        <w:rPr>
          <w:sz w:val="22"/>
          <w:szCs w:val="22"/>
          <w:lang w:val="fr-FR"/>
        </w:rPr>
        <w:t>, réunion de lancement des travaux de la commission (27 juillet 2012), organisation de 7 groupes de travail de la commission du Livre blanc (</w:t>
      </w:r>
      <w:r w:rsidRPr="007F7F52">
        <w:rPr>
          <w:i/>
          <w:sz w:val="22"/>
          <w:szCs w:val="22"/>
          <w:lang w:val="fr-FR"/>
        </w:rPr>
        <w:t>cf</w:t>
      </w:r>
      <w:r w:rsidRPr="007F7F52">
        <w:rPr>
          <w:sz w:val="22"/>
          <w:szCs w:val="22"/>
          <w:lang w:val="fr-FR"/>
        </w:rPr>
        <w:t xml:space="preserve">. annexe 4 dans le présent </w:t>
      </w:r>
      <w:r w:rsidRPr="007F7F52">
        <w:rPr>
          <w:i/>
          <w:sz w:val="22"/>
          <w:szCs w:val="22"/>
          <w:lang w:val="fr-FR"/>
        </w:rPr>
        <w:t>Focus Paper</w:t>
      </w:r>
      <w:r w:rsidRPr="007F7F52">
        <w:rPr>
          <w:sz w:val="22"/>
          <w:szCs w:val="22"/>
          <w:lang w:val="fr-FR"/>
        </w:rPr>
        <w:t>) et organisation des réunions et auditions</w:t>
      </w:r>
      <w:r w:rsidRPr="007F7F52">
        <w:rPr>
          <w:rStyle w:val="Appelnotedebasdep"/>
          <w:sz w:val="22"/>
          <w:szCs w:val="22"/>
        </w:rPr>
        <w:footnoteReference w:id="27"/>
      </w:r>
      <w:r w:rsidRPr="007F7F52">
        <w:rPr>
          <w:sz w:val="22"/>
          <w:szCs w:val="22"/>
          <w:lang w:val="fr-FR"/>
        </w:rPr>
        <w:t xml:space="preserve"> entre l’été 2012 et janvier 2013.</w:t>
      </w:r>
    </w:p>
    <w:p w:rsidR="00DA259E" w:rsidRPr="007F7F52" w:rsidRDefault="00DA259E" w:rsidP="00895141">
      <w:pPr>
        <w:jc w:val="both"/>
        <w:rPr>
          <w:sz w:val="22"/>
          <w:szCs w:val="22"/>
          <w:lang w:val="fr-FR"/>
        </w:rPr>
      </w:pPr>
    </w:p>
    <w:p w:rsidR="00DA259E" w:rsidRPr="007F7F52" w:rsidRDefault="00DA259E" w:rsidP="007F7F52">
      <w:pPr>
        <w:jc w:val="both"/>
        <w:rPr>
          <w:sz w:val="22"/>
          <w:szCs w:val="22"/>
          <w:lang w:val="fr-FR"/>
        </w:rPr>
      </w:pPr>
      <w:r w:rsidRPr="007F7F52">
        <w:rPr>
          <w:sz w:val="22"/>
          <w:szCs w:val="22"/>
          <w:lang w:val="fr-FR"/>
        </w:rPr>
        <w:lastRenderedPageBreak/>
        <w:t>Relevons que pour la première fois, elle comprenait deux Européens, un Allemand</w:t>
      </w:r>
      <w:r w:rsidRPr="007F7F52">
        <w:rPr>
          <w:rStyle w:val="Appelnotedebasdep"/>
          <w:sz w:val="22"/>
          <w:szCs w:val="22"/>
        </w:rPr>
        <w:footnoteReference w:id="28"/>
      </w:r>
      <w:r w:rsidRPr="007F7F52">
        <w:rPr>
          <w:sz w:val="22"/>
          <w:szCs w:val="22"/>
          <w:lang w:val="fr-FR"/>
        </w:rPr>
        <w:t xml:space="preserve"> et un Britannique</w:t>
      </w:r>
      <w:r w:rsidRPr="007F7F52">
        <w:rPr>
          <w:rStyle w:val="Appelnotedebasdep"/>
          <w:sz w:val="22"/>
          <w:szCs w:val="22"/>
        </w:rPr>
        <w:footnoteReference w:id="29"/>
      </w:r>
      <w:r w:rsidRPr="007F7F52">
        <w:rPr>
          <w:sz w:val="22"/>
          <w:szCs w:val="22"/>
          <w:lang w:val="fr-FR"/>
        </w:rPr>
        <w:t>, dans une symbolique européenne, confirmant l’importance de la relation avec le Royaume-Uni, tout en « réintroduisant l’Allemagne »</w:t>
      </w:r>
      <w:r w:rsidRPr="007F7F52">
        <w:rPr>
          <w:rStyle w:val="Appelnotedebasdep"/>
          <w:sz w:val="22"/>
          <w:szCs w:val="22"/>
        </w:rPr>
        <w:footnoteReference w:id="30"/>
      </w:r>
      <w:r w:rsidRPr="007F7F52">
        <w:rPr>
          <w:sz w:val="22"/>
          <w:szCs w:val="22"/>
          <w:lang w:val="fr-FR"/>
        </w:rPr>
        <w:t>. Au-delà, la méthode suivie en 2012-2013 fut à peu de chose près la même que celle suivie en 2007-2008, sauf que les données budgétaires n’ont jamais été communiquées aux membres de la Commission, ce qui aurait « nui gravement aux travaux »</w:t>
      </w:r>
      <w:r w:rsidRPr="007F7F52">
        <w:rPr>
          <w:rStyle w:val="Appelnotedebasdep"/>
          <w:sz w:val="22"/>
          <w:szCs w:val="22"/>
        </w:rPr>
        <w:footnoteReference w:id="31"/>
      </w:r>
      <w:r w:rsidRPr="007F7F52">
        <w:rPr>
          <w:sz w:val="22"/>
          <w:szCs w:val="22"/>
          <w:lang w:val="fr-FR"/>
        </w:rPr>
        <w:t xml:space="preserve">. </w:t>
      </w:r>
    </w:p>
    <w:p w:rsidR="00DA259E" w:rsidRPr="007F7F52" w:rsidRDefault="00DA259E" w:rsidP="007F7F52">
      <w:pPr>
        <w:jc w:val="both"/>
        <w:rPr>
          <w:sz w:val="22"/>
          <w:szCs w:val="22"/>
          <w:lang w:val="fr-FR"/>
        </w:rPr>
      </w:pPr>
    </w:p>
    <w:p w:rsidR="00DA259E" w:rsidRPr="007F7F52" w:rsidRDefault="00DA259E" w:rsidP="007F7F52">
      <w:pPr>
        <w:jc w:val="both"/>
        <w:rPr>
          <w:sz w:val="22"/>
          <w:szCs w:val="22"/>
          <w:lang w:val="fr-FR"/>
        </w:rPr>
      </w:pPr>
      <w:r w:rsidRPr="007F7F52">
        <w:rPr>
          <w:sz w:val="22"/>
          <w:szCs w:val="22"/>
          <w:lang w:val="fr-FR"/>
        </w:rPr>
        <w:t>Après finalisation en janvier 2013, le projet de Livre blanc fut remis au président de la République le mois suivant. Eurent lieu ensuite les échanges interministériels puis les arbitrages en Conseil de défense (avril 2013) sous l’autorité du président de la République, avant que le document officiel ne soit finalement rendu public le 29 avril 2013.</w:t>
      </w:r>
    </w:p>
    <w:p w:rsidR="00DA259E" w:rsidRPr="007F7F52" w:rsidRDefault="00DA259E" w:rsidP="007F7F52">
      <w:pPr>
        <w:jc w:val="both"/>
        <w:rPr>
          <w:sz w:val="22"/>
          <w:szCs w:val="22"/>
          <w:lang w:val="fr-FR"/>
        </w:rPr>
      </w:pPr>
    </w:p>
    <w:p w:rsidR="00DA259E" w:rsidRPr="007F7F52" w:rsidRDefault="00DA259E" w:rsidP="007F7F52">
      <w:pPr>
        <w:jc w:val="both"/>
        <w:rPr>
          <w:sz w:val="22"/>
          <w:szCs w:val="22"/>
          <w:lang w:val="fr-FR"/>
        </w:rPr>
      </w:pPr>
      <w:r w:rsidRPr="007F7F52">
        <w:rPr>
          <w:sz w:val="22"/>
          <w:szCs w:val="22"/>
          <w:lang w:val="fr-FR"/>
        </w:rPr>
        <w:t>Parallèlement, le Sénat a constitué des groupes de travail dont l’objet n’était pas de se substituer aux commissions de l’exécutif mais d’y apporter réflexions et approfondissements. Ces travaux débutèrent « sous Sarkozy » dans le cadre de ce qui était à l’époque la revue du Livre blanc sur la sécurité et la défense décidée en septembre 2011, pour rebondir avec la lettre de mission du président Hollande en juillet 2012. Sept rapports d’information furent publiés :</w:t>
      </w:r>
    </w:p>
    <w:p w:rsidR="00DA259E" w:rsidRPr="007F7F52" w:rsidRDefault="00DA259E" w:rsidP="007F7F52">
      <w:pPr>
        <w:jc w:val="both"/>
        <w:rPr>
          <w:sz w:val="22"/>
          <w:szCs w:val="22"/>
          <w:lang w:val="fr-FR"/>
        </w:rPr>
      </w:pPr>
    </w:p>
    <w:p w:rsidR="00DA259E" w:rsidRPr="007F7F52" w:rsidRDefault="00DA259E" w:rsidP="007F7F52">
      <w:pPr>
        <w:jc w:val="both"/>
        <w:rPr>
          <w:sz w:val="22"/>
          <w:szCs w:val="22"/>
          <w:lang w:val="fr-FR"/>
        </w:rPr>
      </w:pPr>
      <w:r w:rsidRPr="007F7F52">
        <w:rPr>
          <w:sz w:val="22"/>
          <w:szCs w:val="22"/>
          <w:lang w:val="fr-FR"/>
        </w:rPr>
        <w:t>*</w:t>
      </w:r>
      <w:r w:rsidRPr="007F7F52">
        <w:rPr>
          <w:i/>
          <w:sz w:val="22"/>
          <w:szCs w:val="22"/>
          <w:lang w:val="fr-FR"/>
        </w:rPr>
        <w:t>Révision du Livre blanc sur la défense et la sécurité internationale : quelles évolutions du contexte stratégique depuis 2008 ?</w:t>
      </w:r>
      <w:r w:rsidRPr="007F7F52">
        <w:rPr>
          <w:sz w:val="22"/>
          <w:szCs w:val="22"/>
          <w:lang w:val="fr-FR"/>
        </w:rPr>
        <w:t xml:space="preserve"> (rapport n°207, 16 décembre 2011) ;</w:t>
      </w:r>
    </w:p>
    <w:p w:rsidR="00DA259E" w:rsidRPr="007F7F52" w:rsidRDefault="00DA259E" w:rsidP="007F7F52">
      <w:pPr>
        <w:jc w:val="both"/>
        <w:rPr>
          <w:sz w:val="22"/>
          <w:szCs w:val="22"/>
          <w:lang w:val="fr-FR"/>
        </w:rPr>
      </w:pPr>
      <w:r w:rsidRPr="007F7F52">
        <w:rPr>
          <w:sz w:val="22"/>
          <w:szCs w:val="22"/>
          <w:lang w:val="fr-FR"/>
        </w:rPr>
        <w:t>*</w:t>
      </w:r>
      <w:r w:rsidRPr="007F7F52">
        <w:rPr>
          <w:i/>
          <w:sz w:val="22"/>
          <w:szCs w:val="22"/>
          <w:lang w:val="fr-FR"/>
        </w:rPr>
        <w:t>Les capacités industrielles militaires critiques</w:t>
      </w:r>
      <w:r w:rsidRPr="007F7F52">
        <w:rPr>
          <w:sz w:val="22"/>
          <w:szCs w:val="22"/>
          <w:lang w:val="fr-FR"/>
        </w:rPr>
        <w:t xml:space="preserve"> (rapport n°634, 4 juillet 2012) ;</w:t>
      </w:r>
    </w:p>
    <w:p w:rsidR="00DA259E" w:rsidRPr="007F7F52" w:rsidRDefault="00DA259E" w:rsidP="007F7F52">
      <w:pPr>
        <w:jc w:val="both"/>
        <w:rPr>
          <w:sz w:val="22"/>
          <w:szCs w:val="22"/>
          <w:lang w:val="fr-FR"/>
        </w:rPr>
      </w:pPr>
      <w:r w:rsidRPr="007F7F52">
        <w:rPr>
          <w:sz w:val="22"/>
          <w:szCs w:val="22"/>
          <w:lang w:val="fr-FR"/>
        </w:rPr>
        <w:t>*</w:t>
      </w:r>
      <w:r w:rsidRPr="007F7F52">
        <w:rPr>
          <w:i/>
          <w:sz w:val="22"/>
          <w:szCs w:val="22"/>
          <w:lang w:val="fr-FR"/>
        </w:rPr>
        <w:t>Bases de défense : une réforme à conforter</w:t>
      </w:r>
      <w:r w:rsidRPr="007F7F52">
        <w:rPr>
          <w:sz w:val="22"/>
          <w:szCs w:val="22"/>
          <w:lang w:val="fr-FR"/>
        </w:rPr>
        <w:t xml:space="preserve"> (rapport n°660, 11 juillet 2012) ;</w:t>
      </w:r>
    </w:p>
    <w:p w:rsidR="00DA259E" w:rsidRPr="007F7F52" w:rsidRDefault="00DA259E" w:rsidP="007F7F52">
      <w:pPr>
        <w:jc w:val="both"/>
        <w:rPr>
          <w:sz w:val="22"/>
          <w:szCs w:val="22"/>
          <w:lang w:val="fr-FR"/>
        </w:rPr>
      </w:pPr>
      <w:r w:rsidRPr="007F7F52">
        <w:rPr>
          <w:sz w:val="22"/>
          <w:szCs w:val="22"/>
          <w:lang w:val="fr-FR"/>
        </w:rPr>
        <w:t>*</w:t>
      </w:r>
      <w:r w:rsidRPr="007F7F52">
        <w:rPr>
          <w:i/>
          <w:sz w:val="22"/>
          <w:szCs w:val="22"/>
          <w:lang w:val="fr-FR"/>
        </w:rPr>
        <w:t>L’avenir des forces nucléaires françaises</w:t>
      </w:r>
      <w:r w:rsidRPr="007F7F52">
        <w:rPr>
          <w:sz w:val="22"/>
          <w:szCs w:val="22"/>
          <w:lang w:val="fr-FR"/>
        </w:rPr>
        <w:t xml:space="preserve"> (rapport n°668, 12 juillet 2012) ;</w:t>
      </w:r>
    </w:p>
    <w:p w:rsidR="00DA259E" w:rsidRPr="007F7F52" w:rsidRDefault="00DA259E" w:rsidP="007F7F52">
      <w:pPr>
        <w:jc w:val="both"/>
        <w:rPr>
          <w:sz w:val="22"/>
          <w:szCs w:val="22"/>
          <w:lang w:val="fr-FR"/>
        </w:rPr>
      </w:pPr>
      <w:r w:rsidRPr="007F7F52">
        <w:rPr>
          <w:sz w:val="22"/>
          <w:szCs w:val="22"/>
          <w:lang w:val="fr-FR"/>
        </w:rPr>
        <w:t>*</w:t>
      </w:r>
      <w:r w:rsidRPr="007F7F52">
        <w:rPr>
          <w:i/>
          <w:sz w:val="22"/>
          <w:szCs w:val="22"/>
          <w:lang w:val="fr-FR"/>
        </w:rPr>
        <w:t>Maritimisation : la France face à la nouvelle géopolitique des océans</w:t>
      </w:r>
      <w:r w:rsidRPr="007F7F52">
        <w:rPr>
          <w:sz w:val="22"/>
          <w:szCs w:val="22"/>
          <w:lang w:val="fr-FR"/>
        </w:rPr>
        <w:t xml:space="preserve"> (rapport n°674, 17 juillet 2012) ;</w:t>
      </w:r>
    </w:p>
    <w:p w:rsidR="00DA259E" w:rsidRPr="007F7F52" w:rsidRDefault="00DA259E" w:rsidP="007F7F52">
      <w:pPr>
        <w:jc w:val="both"/>
        <w:rPr>
          <w:sz w:val="22"/>
          <w:szCs w:val="22"/>
          <w:lang w:val="fr-FR"/>
        </w:rPr>
      </w:pPr>
      <w:r w:rsidRPr="007F7F52">
        <w:rPr>
          <w:sz w:val="22"/>
          <w:szCs w:val="22"/>
          <w:lang w:val="fr-FR"/>
        </w:rPr>
        <w:t>*</w:t>
      </w:r>
      <w:r w:rsidRPr="007F7F52">
        <w:rPr>
          <w:i/>
          <w:sz w:val="22"/>
          <w:szCs w:val="22"/>
          <w:lang w:val="fr-FR"/>
        </w:rPr>
        <w:t>Forces armées : peut-on encore réduire un format « juste suffisant </w:t>
      </w:r>
      <w:r w:rsidRPr="007F7F52">
        <w:rPr>
          <w:sz w:val="22"/>
          <w:szCs w:val="22"/>
          <w:lang w:val="fr-FR"/>
        </w:rPr>
        <w:t>» </w:t>
      </w:r>
      <w:r w:rsidRPr="007F7F52">
        <w:rPr>
          <w:i/>
          <w:sz w:val="22"/>
          <w:szCs w:val="22"/>
          <w:lang w:val="fr-FR"/>
        </w:rPr>
        <w:t>?</w:t>
      </w:r>
      <w:r w:rsidRPr="007F7F52">
        <w:rPr>
          <w:sz w:val="22"/>
          <w:szCs w:val="22"/>
          <w:lang w:val="fr-FR"/>
        </w:rPr>
        <w:t xml:space="preserve"> (rapport n°680, 18 juillet 2012).</w:t>
      </w:r>
    </w:p>
    <w:p w:rsidR="00DA259E" w:rsidRPr="007F7F52" w:rsidRDefault="00DA259E" w:rsidP="007F7F52">
      <w:pPr>
        <w:jc w:val="both"/>
        <w:rPr>
          <w:sz w:val="22"/>
          <w:szCs w:val="22"/>
          <w:lang w:val="fr-FR"/>
        </w:rPr>
      </w:pPr>
      <w:r w:rsidRPr="007F7F52">
        <w:rPr>
          <w:sz w:val="22"/>
          <w:szCs w:val="22"/>
          <w:lang w:val="fr-FR"/>
        </w:rPr>
        <w:t>*</w:t>
      </w:r>
      <w:r w:rsidRPr="007F7F52">
        <w:rPr>
          <w:i/>
          <w:sz w:val="22"/>
          <w:szCs w:val="22"/>
          <w:lang w:val="fr-FR"/>
        </w:rPr>
        <w:t>La cyberdéfense : un enjeu mondial, une priorité nationale</w:t>
      </w:r>
      <w:r w:rsidRPr="007F7F52">
        <w:rPr>
          <w:sz w:val="22"/>
          <w:szCs w:val="22"/>
          <w:lang w:val="fr-FR"/>
        </w:rPr>
        <w:t xml:space="preserve"> (rapport n°681, 18 juillet 2012) ;</w:t>
      </w:r>
    </w:p>
    <w:p w:rsidR="00DA259E" w:rsidRPr="007F7F52" w:rsidRDefault="00DA259E" w:rsidP="007F7F52">
      <w:pPr>
        <w:jc w:val="both"/>
        <w:rPr>
          <w:sz w:val="22"/>
          <w:szCs w:val="22"/>
          <w:lang w:val="fr-FR"/>
        </w:rPr>
      </w:pPr>
    </w:p>
    <w:p w:rsidR="00DA259E" w:rsidRPr="007F7F52" w:rsidRDefault="00DA259E" w:rsidP="007F7F52">
      <w:pPr>
        <w:jc w:val="both"/>
        <w:rPr>
          <w:sz w:val="22"/>
          <w:szCs w:val="22"/>
          <w:lang w:val="fr-FR"/>
        </w:rPr>
      </w:pPr>
      <w:r w:rsidRPr="007F7F52">
        <w:rPr>
          <w:sz w:val="22"/>
          <w:szCs w:val="22"/>
          <w:lang w:val="fr-FR"/>
        </w:rPr>
        <w:t>Un 8</w:t>
      </w:r>
      <w:r w:rsidRPr="007F7F52">
        <w:rPr>
          <w:sz w:val="22"/>
          <w:szCs w:val="22"/>
          <w:vertAlign w:val="superscript"/>
          <w:lang w:val="fr-FR"/>
        </w:rPr>
        <w:t>e</w:t>
      </w:r>
      <w:r w:rsidRPr="007F7F52">
        <w:rPr>
          <w:sz w:val="22"/>
          <w:szCs w:val="22"/>
          <w:lang w:val="fr-FR"/>
        </w:rPr>
        <w:t xml:space="preserve"> rapport d’information rédigé par Jean-Louis </w:t>
      </w:r>
      <w:proofErr w:type="spellStart"/>
      <w:r w:rsidRPr="007F7F52">
        <w:rPr>
          <w:sz w:val="22"/>
          <w:szCs w:val="22"/>
          <w:lang w:val="fr-FR"/>
        </w:rPr>
        <w:t>Carrère</w:t>
      </w:r>
      <w:proofErr w:type="spellEnd"/>
      <w:r w:rsidRPr="007F7F52">
        <w:rPr>
          <w:sz w:val="22"/>
          <w:szCs w:val="22"/>
          <w:lang w:val="fr-FR"/>
        </w:rPr>
        <w:t>, président du Sénat, fit la synthèse des travaux préparatoires à la commission du Livre blanc (rapport 710, 26 juillet 2012) précisant que les commissions furent suivies par la majorité et l’opposition et que 16 déplacements et 132 auditions eurent lieu sur ces sujets.</w:t>
      </w:r>
    </w:p>
    <w:p w:rsidR="00DA259E" w:rsidRPr="007F7F52" w:rsidRDefault="00DA259E" w:rsidP="007F7F52">
      <w:pPr>
        <w:jc w:val="both"/>
        <w:rPr>
          <w:sz w:val="22"/>
          <w:szCs w:val="22"/>
          <w:lang w:val="fr-FR"/>
        </w:rPr>
      </w:pPr>
    </w:p>
    <w:p w:rsidR="00DA259E" w:rsidRPr="007F7F52" w:rsidRDefault="00DA259E" w:rsidP="007F7F52">
      <w:pPr>
        <w:jc w:val="both"/>
        <w:rPr>
          <w:sz w:val="22"/>
          <w:szCs w:val="22"/>
          <w:lang w:val="fr-FR"/>
        </w:rPr>
      </w:pPr>
      <w:r w:rsidRPr="007F7F52">
        <w:rPr>
          <w:sz w:val="22"/>
          <w:szCs w:val="22"/>
          <w:lang w:val="fr-FR"/>
        </w:rPr>
        <w:t>À la même époque, d’autres rapports</w:t>
      </w:r>
      <w:r w:rsidRPr="007F7F52">
        <w:rPr>
          <w:rStyle w:val="Appelnotedebasdep"/>
          <w:sz w:val="22"/>
          <w:szCs w:val="22"/>
        </w:rPr>
        <w:footnoteReference w:id="32"/>
      </w:r>
      <w:r w:rsidRPr="007F7F52">
        <w:rPr>
          <w:sz w:val="22"/>
          <w:szCs w:val="22"/>
          <w:lang w:val="fr-FR"/>
        </w:rPr>
        <w:t xml:space="preserve"> purent également enrichir, en tout ou en partie, les travaux de la commission du Livre blanc. Citons également le rapport d’Hubert Védrine</w:t>
      </w:r>
      <w:r w:rsidRPr="007F7F52">
        <w:rPr>
          <w:rStyle w:val="Appelnotedebasdep"/>
          <w:sz w:val="22"/>
          <w:szCs w:val="22"/>
        </w:rPr>
        <w:footnoteReference w:id="33"/>
      </w:r>
      <w:r w:rsidRPr="007F7F52">
        <w:rPr>
          <w:sz w:val="22"/>
          <w:szCs w:val="22"/>
          <w:lang w:val="fr-FR"/>
        </w:rPr>
        <w:t xml:space="preserve"> remis au président de la République, François Hollande, et intitulé : « Les conséquences du retour de la France dans le commandement militaire intégré de l’Organisation du Traité de l’Atlantique Nord, l’avenir de la relation transatlantique et les perspectives de l’Europe de la défense » (14 novembre 2012) et qui concluait aussi bien sur le renforcement de l’influence de la France au sein de l’Alliance que sur la mobilisation des partenaires européens en faveur de l’Europe de la défense.</w:t>
      </w:r>
    </w:p>
    <w:p w:rsidR="00DA259E" w:rsidRPr="007F7F52" w:rsidRDefault="00DA259E" w:rsidP="007F7F52">
      <w:pPr>
        <w:jc w:val="both"/>
        <w:rPr>
          <w:sz w:val="22"/>
          <w:szCs w:val="22"/>
          <w:lang w:val="fr-FR"/>
        </w:rPr>
      </w:pPr>
    </w:p>
    <w:p w:rsidR="00DA259E" w:rsidRPr="007F7F52" w:rsidRDefault="00DA259E" w:rsidP="007F7F52">
      <w:pPr>
        <w:jc w:val="both"/>
        <w:rPr>
          <w:sz w:val="22"/>
          <w:szCs w:val="22"/>
          <w:lang w:val="fr-FR"/>
        </w:rPr>
      </w:pPr>
      <w:r w:rsidRPr="007F7F52">
        <w:rPr>
          <w:sz w:val="22"/>
          <w:szCs w:val="22"/>
          <w:lang w:val="fr-FR"/>
        </w:rPr>
        <w:lastRenderedPageBreak/>
        <w:t>Quant au projet de loi de programmation militaire, il devait être finalisé en fonction du contenu du Livre blanc français 2013, avec un débat qui s’ouvrira, au Sénat, à l’automne 2013. Relevons déjà la parution de rapports d’information très détaillés de l’Assemblée nationale relatifs à une revue capacitaire des armées (n°1233, 10 juillet 2013) et celui en conclusion de travaux de la Mission d’évaluation et de contrôle (MEC) sur la conduite des programmes d’armement en coopération (n°1234, 10 juillet 2013).</w:t>
      </w:r>
    </w:p>
    <w:p w:rsidR="00DA259E" w:rsidRPr="007F7F52" w:rsidRDefault="00DA259E" w:rsidP="007F7F52">
      <w:pPr>
        <w:jc w:val="both"/>
        <w:rPr>
          <w:b/>
          <w:sz w:val="22"/>
          <w:szCs w:val="22"/>
          <w:lang w:val="fr-FR"/>
        </w:rPr>
      </w:pPr>
    </w:p>
    <w:p w:rsidR="00DA259E" w:rsidRPr="007F7F52" w:rsidRDefault="00DA259E" w:rsidP="00DA259E">
      <w:pPr>
        <w:rPr>
          <w:szCs w:val="24"/>
          <w:lang w:val="fr-FR"/>
        </w:rPr>
      </w:pPr>
      <w:r w:rsidRPr="007F7F52">
        <w:rPr>
          <w:b/>
          <w:sz w:val="28"/>
          <w:szCs w:val="28"/>
          <w:lang w:val="fr-FR"/>
        </w:rPr>
        <w:t>Premières réactions durant le processus de rédaction</w:t>
      </w:r>
    </w:p>
    <w:p w:rsidR="00DA259E" w:rsidRPr="00895141" w:rsidRDefault="00DA259E" w:rsidP="00DA259E">
      <w:pPr>
        <w:rPr>
          <w:rFonts w:asciiTheme="minorHAnsi" w:hAnsiTheme="minorHAnsi" w:cstheme="minorHAnsi"/>
          <w:szCs w:val="24"/>
          <w:lang w:val="fr-FR"/>
        </w:rPr>
      </w:pPr>
    </w:p>
    <w:p w:rsidR="00DA259E" w:rsidRPr="007F7F52" w:rsidRDefault="00DA259E" w:rsidP="00895141">
      <w:pPr>
        <w:jc w:val="both"/>
        <w:rPr>
          <w:sz w:val="22"/>
          <w:szCs w:val="22"/>
          <w:lang w:val="fr-FR"/>
        </w:rPr>
      </w:pPr>
      <w:r w:rsidRPr="007F7F52">
        <w:rPr>
          <w:sz w:val="22"/>
          <w:szCs w:val="22"/>
          <w:lang w:val="fr-FR"/>
        </w:rPr>
        <w:t>Plusieurs réactions, jeux de dramatisation</w:t>
      </w:r>
      <w:r w:rsidRPr="007F7F52">
        <w:rPr>
          <w:rStyle w:val="Appelnotedebasdep"/>
          <w:sz w:val="22"/>
          <w:szCs w:val="22"/>
        </w:rPr>
        <w:footnoteReference w:id="34"/>
      </w:r>
      <w:r w:rsidRPr="007F7F52">
        <w:rPr>
          <w:sz w:val="22"/>
          <w:szCs w:val="22"/>
          <w:lang w:val="fr-FR"/>
        </w:rPr>
        <w:t>, ballons d’essai et autres documents politiques furent publiés préalablement et durant la période de rédaction du Livre blanc français. Parmi ceux-ci, nous pouvons relever au sujet de la problématique politico-militaire de la sécurité européenne, plusieurs lignes de forces :</w:t>
      </w:r>
    </w:p>
    <w:p w:rsidR="00DA259E" w:rsidRPr="007F7F52" w:rsidRDefault="00DA259E" w:rsidP="00DA259E">
      <w:pPr>
        <w:rPr>
          <w:sz w:val="22"/>
          <w:szCs w:val="22"/>
          <w:lang w:val="fr-FR"/>
        </w:rPr>
      </w:pPr>
    </w:p>
    <w:p w:rsidR="00DA259E" w:rsidRPr="007F7F52" w:rsidRDefault="00DA259E" w:rsidP="00DA259E">
      <w:pPr>
        <w:pStyle w:val="Paragraphedeliste"/>
        <w:numPr>
          <w:ilvl w:val="0"/>
          <w:numId w:val="15"/>
        </w:numPr>
        <w:suppressAutoHyphens/>
        <w:spacing w:after="0"/>
        <w:contextualSpacing w:val="0"/>
        <w:rPr>
          <w:rFonts w:ascii="Times New Roman" w:hAnsi="Times New Roman"/>
          <w:b/>
          <w:sz w:val="22"/>
          <w:lang w:val="fr-FR"/>
        </w:rPr>
      </w:pPr>
      <w:r w:rsidRPr="007F7F52">
        <w:rPr>
          <w:rFonts w:ascii="Times New Roman" w:hAnsi="Times New Roman"/>
          <w:sz w:val="22"/>
          <w:lang w:val="fr-FR"/>
        </w:rPr>
        <w:t>L’inquiétude sur les coupes budgétaires</w:t>
      </w:r>
      <w:r w:rsidRPr="007F7F52">
        <w:rPr>
          <w:rStyle w:val="Appelnotedebasdep"/>
          <w:rFonts w:ascii="Times New Roman" w:hAnsi="Times New Roman"/>
          <w:sz w:val="22"/>
        </w:rPr>
        <w:footnoteReference w:id="35"/>
      </w:r>
      <w:r w:rsidRPr="007F7F52">
        <w:rPr>
          <w:rFonts w:ascii="Times New Roman" w:hAnsi="Times New Roman"/>
          <w:sz w:val="22"/>
          <w:lang w:val="fr-FR"/>
        </w:rPr>
        <w:t>, l’épuisement stratégique des moyens français</w:t>
      </w:r>
      <w:r w:rsidRPr="007F7F52">
        <w:rPr>
          <w:rStyle w:val="Appelnotedebasdep"/>
          <w:rFonts w:ascii="Times New Roman" w:hAnsi="Times New Roman"/>
          <w:sz w:val="22"/>
        </w:rPr>
        <w:footnoteReference w:id="36"/>
      </w:r>
      <w:r w:rsidRPr="007F7F52">
        <w:rPr>
          <w:rFonts w:ascii="Times New Roman" w:hAnsi="Times New Roman"/>
          <w:sz w:val="22"/>
          <w:lang w:val="fr-FR"/>
        </w:rPr>
        <w:t xml:space="preserve"> ou le « court-termisme »</w:t>
      </w:r>
      <w:r w:rsidRPr="007F7F52">
        <w:rPr>
          <w:rStyle w:val="Appelnotedebasdep"/>
          <w:rFonts w:ascii="Times New Roman" w:hAnsi="Times New Roman"/>
          <w:sz w:val="22"/>
        </w:rPr>
        <w:footnoteReference w:id="37"/>
      </w:r>
      <w:r w:rsidRPr="007F7F52">
        <w:rPr>
          <w:rFonts w:ascii="Times New Roman" w:hAnsi="Times New Roman"/>
          <w:sz w:val="22"/>
          <w:lang w:val="fr-FR"/>
        </w:rPr>
        <w:t xml:space="preserve">, y compris les faiblesses capacitaires européennes : moyens de transport de troupes et de matériels en raison du décalage du programme d’avion de transport </w:t>
      </w:r>
      <w:r w:rsidRPr="007F7F52">
        <w:rPr>
          <w:rFonts w:ascii="Times New Roman" w:hAnsi="Times New Roman"/>
          <w:i/>
          <w:sz w:val="22"/>
          <w:lang w:val="fr-FR"/>
        </w:rPr>
        <w:t xml:space="preserve">Airbus </w:t>
      </w:r>
      <w:r w:rsidRPr="007F7F52">
        <w:rPr>
          <w:rFonts w:ascii="Times New Roman" w:hAnsi="Times New Roman"/>
          <w:sz w:val="22"/>
          <w:lang w:val="fr-FR"/>
        </w:rPr>
        <w:t>A-400M</w:t>
      </w:r>
      <w:r w:rsidRPr="007F7F52">
        <w:rPr>
          <w:rStyle w:val="Appelnotedebasdep"/>
          <w:rFonts w:ascii="Times New Roman" w:hAnsi="Times New Roman"/>
          <w:sz w:val="22"/>
        </w:rPr>
        <w:footnoteReference w:id="38"/>
      </w:r>
      <w:r w:rsidRPr="007F7F52">
        <w:rPr>
          <w:rFonts w:ascii="Times New Roman" w:hAnsi="Times New Roman"/>
          <w:sz w:val="22"/>
          <w:lang w:val="fr-FR"/>
        </w:rPr>
        <w:t>, absence d’autonomie en matière de drones de surveillance, etc. Le rapport de la commission Défense du Sénat comme contribution au futur Livre blanc (juillet 2012) devient une référence médiatique visant à mettre en avant le danger d’une armée « </w:t>
      </w:r>
      <w:proofErr w:type="spellStart"/>
      <w:r w:rsidRPr="007F7F52">
        <w:rPr>
          <w:rFonts w:ascii="Times New Roman" w:hAnsi="Times New Roman"/>
          <w:sz w:val="22"/>
          <w:lang w:val="fr-FR"/>
        </w:rPr>
        <w:t>échantillonnaire</w:t>
      </w:r>
      <w:proofErr w:type="spellEnd"/>
      <w:r w:rsidRPr="007F7F52">
        <w:rPr>
          <w:rFonts w:ascii="Times New Roman" w:hAnsi="Times New Roman"/>
          <w:sz w:val="22"/>
          <w:lang w:val="fr-FR"/>
        </w:rPr>
        <w:t xml:space="preserve"> dotées de </w:t>
      </w:r>
      <w:r w:rsidRPr="007F7F52">
        <w:rPr>
          <w:rFonts w:ascii="Times New Roman" w:hAnsi="Times New Roman"/>
          <w:sz w:val="22"/>
          <w:lang w:val="fr-BE"/>
        </w:rPr>
        <w:t>“</w:t>
      </w:r>
      <w:r w:rsidRPr="007F7F52">
        <w:rPr>
          <w:rFonts w:ascii="Times New Roman" w:hAnsi="Times New Roman"/>
          <w:sz w:val="22"/>
          <w:lang w:val="fr-FR"/>
        </w:rPr>
        <w:t>quelques capacités polyvalentes</w:t>
      </w:r>
      <w:r w:rsidRPr="007F7F52">
        <w:rPr>
          <w:rFonts w:ascii="Times New Roman" w:hAnsi="Times New Roman"/>
          <w:sz w:val="22"/>
          <w:lang w:val="fr-BE"/>
        </w:rPr>
        <w:t>”</w:t>
      </w:r>
      <w:r w:rsidRPr="007F7F52">
        <w:rPr>
          <w:rFonts w:ascii="Times New Roman" w:hAnsi="Times New Roman"/>
          <w:sz w:val="22"/>
          <w:lang w:val="fr-FR"/>
        </w:rPr>
        <w:t xml:space="preserve"> mais vulnérable par son format réduit »</w:t>
      </w:r>
      <w:r w:rsidRPr="007F7F52">
        <w:rPr>
          <w:rStyle w:val="Appelnotedebasdep"/>
          <w:rFonts w:ascii="Times New Roman" w:hAnsi="Times New Roman"/>
          <w:sz w:val="22"/>
        </w:rPr>
        <w:footnoteReference w:id="39"/>
      </w:r>
      <w:r w:rsidRPr="007F7F52">
        <w:rPr>
          <w:rFonts w:ascii="Times New Roman" w:hAnsi="Times New Roman"/>
          <w:sz w:val="22"/>
          <w:lang w:val="fr-FR"/>
        </w:rPr>
        <w:t>.</w:t>
      </w:r>
    </w:p>
    <w:p w:rsidR="00DA259E" w:rsidRPr="007F7F52" w:rsidRDefault="00DA259E" w:rsidP="00DA259E">
      <w:pPr>
        <w:pStyle w:val="Paragraphedeliste"/>
        <w:numPr>
          <w:ilvl w:val="0"/>
          <w:numId w:val="15"/>
        </w:numPr>
        <w:suppressAutoHyphens/>
        <w:spacing w:after="0"/>
        <w:contextualSpacing w:val="0"/>
        <w:rPr>
          <w:rFonts w:ascii="Times New Roman" w:hAnsi="Times New Roman"/>
          <w:b/>
          <w:sz w:val="22"/>
          <w:lang w:val="fr-FR"/>
        </w:rPr>
      </w:pPr>
      <w:r w:rsidRPr="007F7F52">
        <w:rPr>
          <w:rFonts w:ascii="Times New Roman" w:hAnsi="Times New Roman"/>
          <w:sz w:val="22"/>
          <w:lang w:val="fr-FR"/>
        </w:rPr>
        <w:t>Malgré un certain déclassement stratégique, la mise en évidence d’une capacité d’entraînement de la France vis-à-vis des autres Européens</w:t>
      </w:r>
      <w:r w:rsidRPr="007F7F52">
        <w:rPr>
          <w:rStyle w:val="Appelnotedebasdep"/>
          <w:rFonts w:ascii="Times New Roman" w:hAnsi="Times New Roman"/>
          <w:sz w:val="22"/>
        </w:rPr>
        <w:footnoteReference w:id="40"/>
      </w:r>
      <w:r w:rsidRPr="007F7F52">
        <w:rPr>
          <w:rFonts w:ascii="Times New Roman" w:hAnsi="Times New Roman"/>
          <w:sz w:val="22"/>
          <w:lang w:val="fr-FR"/>
        </w:rPr>
        <w:t>, en confirmant le traité franco-britannique, « en réveillant » le franco-allemand, en donnant davantage de visibilité dans le franco-polonais</w:t>
      </w:r>
      <w:r w:rsidRPr="007F7F52">
        <w:rPr>
          <w:rStyle w:val="Appelnotedebasdep"/>
          <w:rFonts w:ascii="Times New Roman" w:hAnsi="Times New Roman"/>
          <w:sz w:val="22"/>
        </w:rPr>
        <w:footnoteReference w:id="41"/>
      </w:r>
      <w:r w:rsidRPr="007F7F52">
        <w:rPr>
          <w:rFonts w:ascii="Times New Roman" w:hAnsi="Times New Roman"/>
          <w:sz w:val="22"/>
          <w:lang w:val="fr-FR"/>
        </w:rPr>
        <w:t xml:space="preserve"> et en prenant en compte les capacités industrielles et démographiques de l’Italie, de l’Espagne et de la Pologne</w:t>
      </w:r>
      <w:r w:rsidRPr="007F7F52">
        <w:rPr>
          <w:rStyle w:val="Appelnotedebasdep"/>
          <w:rFonts w:ascii="Times New Roman" w:hAnsi="Times New Roman"/>
          <w:sz w:val="22"/>
        </w:rPr>
        <w:footnoteReference w:id="42"/>
      </w:r>
      <w:r w:rsidRPr="007F7F52">
        <w:rPr>
          <w:rFonts w:ascii="Times New Roman" w:hAnsi="Times New Roman"/>
          <w:sz w:val="22"/>
          <w:lang w:val="fr-FR"/>
        </w:rPr>
        <w:t>.</w:t>
      </w:r>
    </w:p>
    <w:p w:rsidR="00DA259E" w:rsidRPr="007F7F52" w:rsidRDefault="00DA259E" w:rsidP="00DA259E">
      <w:pPr>
        <w:pStyle w:val="Paragraphedeliste"/>
        <w:numPr>
          <w:ilvl w:val="0"/>
          <w:numId w:val="15"/>
        </w:numPr>
        <w:suppressAutoHyphens/>
        <w:spacing w:after="0"/>
        <w:contextualSpacing w:val="0"/>
        <w:rPr>
          <w:rFonts w:ascii="Times New Roman" w:hAnsi="Times New Roman"/>
          <w:b/>
          <w:sz w:val="22"/>
          <w:lang w:val="fr-FR"/>
        </w:rPr>
      </w:pPr>
      <w:r w:rsidRPr="007F7F52">
        <w:rPr>
          <w:rFonts w:ascii="Times New Roman" w:hAnsi="Times New Roman"/>
          <w:sz w:val="22"/>
          <w:lang w:val="fr-FR"/>
        </w:rPr>
        <w:t xml:space="preserve">L’impact de la crise économique fait que le statu quo actuel est impossible à maintenir. Selon François Heisbourg (FRS), on va vers un fédéralisme plus poussé, ou vers un processus de désintégration au niveau européen avec le retour à l’Europe des nations. Il pourrait s’agir aussi de faire jouer des « coopérations structurées temporaires » à analyser comme une forme inattendue de validation de la </w:t>
      </w:r>
      <w:r w:rsidRPr="007F7F52">
        <w:rPr>
          <w:rFonts w:ascii="Times New Roman" w:hAnsi="Times New Roman"/>
          <w:sz w:val="22"/>
          <w:lang w:val="fr-FR"/>
        </w:rPr>
        <w:lastRenderedPageBreak/>
        <w:t>réintégration de la France au sein de l’OTAN</w:t>
      </w:r>
      <w:r w:rsidRPr="007F7F52">
        <w:rPr>
          <w:rStyle w:val="Appelnotedebasdep"/>
          <w:rFonts w:ascii="Times New Roman" w:hAnsi="Times New Roman"/>
          <w:sz w:val="22"/>
        </w:rPr>
        <w:footnoteReference w:id="43"/>
      </w:r>
      <w:r w:rsidRPr="007F7F52">
        <w:rPr>
          <w:rFonts w:ascii="Times New Roman" w:hAnsi="Times New Roman"/>
          <w:sz w:val="22"/>
          <w:lang w:val="fr-FR"/>
        </w:rPr>
        <w:t>. La crise peut être prise comme une opportunité pour renforcer l’Europe de la défense en mutualisant et en partageant les capacités</w:t>
      </w:r>
      <w:r w:rsidRPr="007F7F52">
        <w:rPr>
          <w:rStyle w:val="Appelnotedebasdep"/>
          <w:rFonts w:ascii="Times New Roman" w:hAnsi="Times New Roman"/>
          <w:sz w:val="22"/>
        </w:rPr>
        <w:footnoteReference w:id="44"/>
      </w:r>
      <w:r w:rsidRPr="007F7F52">
        <w:rPr>
          <w:rFonts w:ascii="Times New Roman" w:hAnsi="Times New Roman"/>
          <w:sz w:val="22"/>
          <w:lang w:val="fr-FR"/>
        </w:rPr>
        <w:t>.</w:t>
      </w:r>
    </w:p>
    <w:p w:rsidR="00DA259E" w:rsidRDefault="00DA259E" w:rsidP="00DA259E">
      <w:pPr>
        <w:rPr>
          <w:b/>
          <w:sz w:val="22"/>
          <w:szCs w:val="22"/>
          <w:lang w:val="fr-FR"/>
        </w:rPr>
      </w:pPr>
    </w:p>
    <w:p w:rsidR="0033538F" w:rsidRDefault="0033538F" w:rsidP="00DA259E">
      <w:pPr>
        <w:rPr>
          <w:b/>
          <w:sz w:val="22"/>
          <w:szCs w:val="22"/>
          <w:lang w:val="fr-FR"/>
        </w:rPr>
      </w:pPr>
    </w:p>
    <w:p w:rsidR="0033538F" w:rsidRDefault="00603254" w:rsidP="00DA259E">
      <w:pPr>
        <w:rPr>
          <w:b/>
          <w:sz w:val="22"/>
          <w:szCs w:val="22"/>
          <w:lang w:val="fr-FR"/>
        </w:rPr>
      </w:pPr>
      <w:r w:rsidRPr="00603254">
        <w:rPr>
          <w:b/>
          <w:noProof/>
          <w:sz w:val="22"/>
          <w:szCs w:val="22"/>
        </w:rPr>
        <w:pict>
          <v:shape id="Text Box 2" o:spid="_x0000_s1030" type="#_x0000_t202" style="position:absolute;margin-left:0;margin-top:0;width:423.75pt;height:341.25pt;z-index:25182412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">
            <v:textbox>
              <w:txbxContent>
                <w:p w:rsidR="0033538F" w:rsidRDefault="0033538F" w:rsidP="0033538F">
                  <w:pPr>
                    <w:shd w:val="clear" w:color="auto" w:fill="FFFFFF"/>
                    <w:suppressAutoHyphens/>
                    <w:spacing w:after="120"/>
                    <w:jc w:val="both"/>
                    <w:rPr>
                      <w:sz w:val="22"/>
                      <w:szCs w:val="22"/>
                      <w:lang w:val="fr-FR"/>
                    </w:rPr>
                  </w:pPr>
                </w:p>
                <w:p w:rsidR="0033538F" w:rsidRPr="007F7F52" w:rsidRDefault="0033538F" w:rsidP="0033538F">
                  <w:pPr>
                    <w:numPr>
                      <w:ilvl w:val="0"/>
                      <w:numId w:val="16"/>
                    </w:numPr>
                    <w:shd w:val="clear" w:color="auto" w:fill="FFFFFF"/>
                    <w:suppressAutoHyphens/>
                    <w:spacing w:after="120"/>
                    <w:ind w:left="607" w:firstLine="0"/>
                    <w:jc w:val="both"/>
                    <w:rPr>
                      <w:sz w:val="22"/>
                      <w:szCs w:val="22"/>
                      <w:lang w:val="fr-FR"/>
                    </w:rPr>
                  </w:pPr>
                  <w:r w:rsidRPr="007F7F52">
                    <w:rPr>
                      <w:sz w:val="22"/>
                      <w:szCs w:val="22"/>
                      <w:lang w:val="fr-FR"/>
                    </w:rPr>
                    <w:t>1</w:t>
                  </w:r>
                  <w:r w:rsidRPr="007F7F52">
                    <w:rPr>
                      <w:sz w:val="22"/>
                      <w:szCs w:val="22"/>
                      <w:vertAlign w:val="superscript"/>
                      <w:lang w:val="fr-FR"/>
                    </w:rPr>
                    <w:t>er</w:t>
                  </w:r>
                  <w:r w:rsidRPr="007F7F52">
                    <w:rPr>
                      <w:sz w:val="22"/>
                      <w:szCs w:val="22"/>
                      <w:lang w:val="fr-FR"/>
                    </w:rPr>
                    <w:t xml:space="preserve"> leurre : le « court-termisme ». Les décisions budgétaires prises dans les prochaines semaines ne doivent pas contraindre la déclinaison des conclusions du Livre blanc et de la prochaine LPM. Le budget 2013 et la loi de programmation sur les finances publiques ne doivent pas obérer l’avenir.</w:t>
                  </w:r>
                </w:p>
                <w:p w:rsidR="0033538F" w:rsidRPr="007F7F52" w:rsidRDefault="0033538F" w:rsidP="0033538F">
                  <w:pPr>
                    <w:numPr>
                      <w:ilvl w:val="0"/>
                      <w:numId w:val="16"/>
                    </w:numPr>
                    <w:shd w:val="clear" w:color="auto" w:fill="FFFFFF"/>
                    <w:suppressAutoHyphens/>
                    <w:spacing w:after="120"/>
                    <w:ind w:left="607" w:firstLine="0"/>
                    <w:jc w:val="both"/>
                    <w:rPr>
                      <w:sz w:val="22"/>
                      <w:szCs w:val="22"/>
                      <w:lang w:val="fr-FR"/>
                    </w:rPr>
                  </w:pPr>
                  <w:r w:rsidRPr="007F7F52">
                    <w:rPr>
                      <w:sz w:val="22"/>
                      <w:szCs w:val="22"/>
                      <w:lang w:val="fr-FR"/>
                    </w:rPr>
                    <w:t>2</w:t>
                  </w:r>
                  <w:r w:rsidRPr="007F7F52">
                    <w:rPr>
                      <w:sz w:val="22"/>
                      <w:szCs w:val="22"/>
                      <w:vertAlign w:val="superscript"/>
                      <w:lang w:val="fr-FR"/>
                    </w:rPr>
                    <w:t>e</w:t>
                  </w:r>
                  <w:r w:rsidRPr="007F7F52">
                    <w:rPr>
                      <w:sz w:val="22"/>
                      <w:szCs w:val="22"/>
                      <w:lang w:val="fr-FR"/>
                    </w:rPr>
                    <w:t xml:space="preserve"> leurre : la « </w:t>
                  </w:r>
                  <w:proofErr w:type="spellStart"/>
                  <w:r w:rsidRPr="007F7F52">
                    <w:rPr>
                      <w:sz w:val="22"/>
                      <w:szCs w:val="22"/>
                      <w:lang w:val="fr-FR"/>
                    </w:rPr>
                    <w:t>réformite</w:t>
                  </w:r>
                  <w:proofErr w:type="spellEnd"/>
                  <w:r w:rsidRPr="007F7F52">
                    <w:rPr>
                      <w:sz w:val="22"/>
                      <w:szCs w:val="22"/>
                      <w:lang w:val="fr-FR"/>
                    </w:rPr>
                    <w:t xml:space="preserve"> à la découpe ». Rationaliser une seule brique avec une vision cloisonnée, c’est déstabiliser tout l’édifice. Des ajustements seront sans doute nécessaires au regard de la contrainte budgétaire, mais ils devront être imprimés avec souplesse. À défaut, notre outil de défense sera profondément impacté, avec – je viens d’en parler – une dégradation du moral qui montre déjà des signes préoccupants.</w:t>
                  </w:r>
                </w:p>
                <w:p w:rsidR="0033538F" w:rsidRPr="007F7F52" w:rsidRDefault="0033538F" w:rsidP="0033538F">
                  <w:pPr>
                    <w:numPr>
                      <w:ilvl w:val="0"/>
                      <w:numId w:val="16"/>
                    </w:numPr>
                    <w:shd w:val="clear" w:color="auto" w:fill="FFFFFF"/>
                    <w:suppressAutoHyphens/>
                    <w:spacing w:after="120"/>
                    <w:ind w:left="607" w:firstLine="0"/>
                    <w:jc w:val="both"/>
                    <w:rPr>
                      <w:sz w:val="22"/>
                      <w:szCs w:val="22"/>
                      <w:lang w:val="fr-FR"/>
                    </w:rPr>
                  </w:pPr>
                  <w:r w:rsidRPr="007F7F52">
                    <w:rPr>
                      <w:sz w:val="22"/>
                      <w:szCs w:val="22"/>
                      <w:lang w:val="fr-FR"/>
                    </w:rPr>
                    <w:t>3</w:t>
                  </w:r>
                  <w:r w:rsidRPr="007F7F52">
                    <w:rPr>
                      <w:sz w:val="22"/>
                      <w:szCs w:val="22"/>
                      <w:vertAlign w:val="superscript"/>
                      <w:lang w:val="fr-FR"/>
                    </w:rPr>
                    <w:t>e</w:t>
                  </w:r>
                  <w:r w:rsidRPr="007F7F52">
                    <w:rPr>
                      <w:sz w:val="22"/>
                      <w:szCs w:val="22"/>
                      <w:lang w:val="fr-FR"/>
                    </w:rPr>
                    <w:t xml:space="preserve"> leurre : les transpositions hâtives. Les problématiques de nos alliés ne sont jamais exactement les nôtres ! Même à ambitions comparables ! Les Britanniques viennent d’opter pour l’externalisation du soutien de leur armée de terre : resteront-ils maîtres de leurs choix lors de leur prochaine OPEX ?</w:t>
                  </w:r>
                </w:p>
                <w:p w:rsidR="0033538F" w:rsidRPr="007F7F52" w:rsidRDefault="0033538F" w:rsidP="0033538F">
                  <w:pPr>
                    <w:numPr>
                      <w:ilvl w:val="0"/>
                      <w:numId w:val="16"/>
                    </w:numPr>
                    <w:shd w:val="clear" w:color="auto" w:fill="FFFFFF"/>
                    <w:suppressAutoHyphens/>
                    <w:spacing w:after="120"/>
                    <w:ind w:left="607" w:firstLine="0"/>
                    <w:jc w:val="both"/>
                    <w:rPr>
                      <w:sz w:val="22"/>
                      <w:szCs w:val="22"/>
                      <w:lang w:val="fr-FR"/>
                    </w:rPr>
                  </w:pPr>
                  <w:r w:rsidRPr="007F7F52">
                    <w:rPr>
                      <w:sz w:val="22"/>
                      <w:szCs w:val="22"/>
                      <w:lang w:val="fr-FR"/>
                    </w:rPr>
                    <w:t>4</w:t>
                  </w:r>
                  <w:r w:rsidRPr="007F7F52">
                    <w:rPr>
                      <w:sz w:val="22"/>
                      <w:szCs w:val="22"/>
                      <w:vertAlign w:val="superscript"/>
                      <w:lang w:val="fr-FR"/>
                    </w:rPr>
                    <w:t>e</w:t>
                  </w:r>
                  <w:r w:rsidRPr="007F7F52">
                    <w:rPr>
                      <w:sz w:val="22"/>
                      <w:szCs w:val="22"/>
                      <w:lang w:val="fr-FR"/>
                    </w:rPr>
                    <w:t xml:space="preserve"> leurre : tout miser sur les partages et mutualisations capacitaires. La </w:t>
                  </w:r>
                  <w:r w:rsidRPr="007F7F52">
                    <w:rPr>
                      <w:i/>
                      <w:iCs/>
                      <w:sz w:val="22"/>
                      <w:szCs w:val="22"/>
                      <w:lang w:val="fr-FR"/>
                    </w:rPr>
                    <w:t xml:space="preserve">« Smart </w:t>
                  </w:r>
                  <w:proofErr w:type="spellStart"/>
                  <w:r w:rsidRPr="007F7F52">
                    <w:rPr>
                      <w:i/>
                      <w:iCs/>
                      <w:sz w:val="22"/>
                      <w:szCs w:val="22"/>
                      <w:lang w:val="fr-FR"/>
                    </w:rPr>
                    <w:t>defence</w:t>
                  </w:r>
                  <w:proofErr w:type="spellEnd"/>
                  <w:r w:rsidRPr="007F7F52">
                    <w:rPr>
                      <w:i/>
                      <w:iCs/>
                      <w:sz w:val="22"/>
                      <w:szCs w:val="22"/>
                      <w:lang w:val="fr-FR"/>
                    </w:rPr>
                    <w:t> »</w:t>
                  </w:r>
                  <w:r w:rsidRPr="007F7F52">
                    <w:rPr>
                      <w:sz w:val="22"/>
                      <w:szCs w:val="22"/>
                      <w:lang w:val="fr-FR"/>
                    </w:rPr>
                    <w:t xml:space="preserve"> de l’OTAN, le </w:t>
                  </w:r>
                  <w:r w:rsidRPr="007F7F52">
                    <w:rPr>
                      <w:i/>
                      <w:iCs/>
                      <w:sz w:val="22"/>
                      <w:szCs w:val="22"/>
                      <w:lang w:val="fr-FR"/>
                    </w:rPr>
                    <w:t>« Pooling and Sharing »</w:t>
                  </w:r>
                  <w:r w:rsidRPr="007F7F52">
                    <w:rPr>
                      <w:sz w:val="22"/>
                      <w:szCs w:val="22"/>
                      <w:lang w:val="fr-FR"/>
                    </w:rPr>
                    <w:t xml:space="preserve"> de l’UE sont des opportunités intéressantes mais elles ne rempliront leur vocation que si elles sont vécues par tous comme un atout pour faire plus ensemble et non comme une excuse pour faire moins chacun. Elles ne doivent pas être des simples esquives financières, au détriment de la BITD nationale et européenne.</w:t>
                  </w:r>
                </w:p>
                <w:p w:rsidR="0033538F" w:rsidRPr="00D96B0C" w:rsidRDefault="0033538F" w:rsidP="0033538F">
                  <w:pPr>
                    <w:jc w:val="both"/>
                    <w:rPr>
                      <w:lang w:val="fr-BE"/>
                    </w:rPr>
                  </w:pPr>
                  <w:r w:rsidRPr="007F7F52">
                    <w:rPr>
                      <w:sz w:val="22"/>
                      <w:szCs w:val="22"/>
                      <w:lang w:val="fr-FR"/>
                    </w:rPr>
                    <w:t>Amiral Guillaud, chef d’état-major des armées, audition, Assemblée nationale, Paris, 11 juillet 2012.</w:t>
                  </w:r>
                </w:p>
                <w:p w:rsidR="0033538F" w:rsidRPr="0033538F" w:rsidRDefault="0033538F" w:rsidP="0033538F">
                  <w:pPr>
                    <w:rPr>
                      <w:b/>
                      <w:sz w:val="22"/>
                      <w:szCs w:val="22"/>
                      <w:lang w:val="fr-BE"/>
                    </w:rPr>
                  </w:pPr>
                </w:p>
                <w:p w:rsidR="0033538F" w:rsidRDefault="0033538F" w:rsidP="0033538F">
                  <w:pPr>
                    <w:rPr>
                      <w:b/>
                      <w:sz w:val="22"/>
                      <w:szCs w:val="22"/>
                      <w:lang w:val="fr-FR"/>
                    </w:rPr>
                  </w:pPr>
                </w:p>
                <w:p w:rsidR="0033538F" w:rsidRDefault="0033538F" w:rsidP="0033538F">
                  <w:pPr>
                    <w:rPr>
                      <w:b/>
                      <w:sz w:val="22"/>
                      <w:szCs w:val="22"/>
                      <w:lang w:val="fr-FR"/>
                    </w:rPr>
                  </w:pPr>
                </w:p>
                <w:p w:rsidR="0033538F" w:rsidRPr="0033538F" w:rsidRDefault="0033538F">
                  <w:pPr>
                    <w:rPr>
                      <w:lang w:val="fr-FR"/>
                    </w:rPr>
                  </w:pPr>
                </w:p>
              </w:txbxContent>
            </v:textbox>
          </v:shape>
        </w:pict>
      </w: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Default="0033538F" w:rsidP="00DA259E">
      <w:pPr>
        <w:rPr>
          <w:b/>
          <w:sz w:val="22"/>
          <w:szCs w:val="22"/>
          <w:lang w:val="fr-FR"/>
        </w:rPr>
      </w:pPr>
    </w:p>
    <w:p w:rsidR="0033538F" w:rsidRPr="007F7F52" w:rsidRDefault="0033538F" w:rsidP="00DA259E">
      <w:pPr>
        <w:rPr>
          <w:b/>
          <w:sz w:val="22"/>
          <w:szCs w:val="22"/>
          <w:lang w:val="fr-FR"/>
        </w:rPr>
      </w:pPr>
    </w:p>
    <w:p w:rsidR="00DA259E" w:rsidRPr="00A55FDC" w:rsidRDefault="00DA259E" w:rsidP="00DA259E">
      <w:pPr>
        <w:pStyle w:val="Paragraphedeliste"/>
        <w:numPr>
          <w:ilvl w:val="0"/>
          <w:numId w:val="15"/>
        </w:numPr>
        <w:suppressAutoHyphens/>
        <w:spacing w:after="0"/>
        <w:contextualSpacing w:val="0"/>
        <w:rPr>
          <w:rFonts w:ascii="Times New Roman" w:hAnsi="Times New Roman"/>
          <w:b/>
          <w:sz w:val="22"/>
          <w:lang w:val="fr-FR"/>
        </w:rPr>
      </w:pPr>
      <w:r w:rsidRPr="007F7F52">
        <w:rPr>
          <w:rFonts w:ascii="Times New Roman" w:hAnsi="Times New Roman"/>
          <w:sz w:val="22"/>
          <w:lang w:val="fr-FR"/>
        </w:rPr>
        <w:t>A contrario, « la </w:t>
      </w:r>
      <w:r w:rsidRPr="007F7F52">
        <w:rPr>
          <w:rFonts w:ascii="Times New Roman" w:hAnsi="Times New Roman"/>
          <w:i/>
          <w:sz w:val="22"/>
          <w:lang w:val="fr-FR"/>
        </w:rPr>
        <w:t xml:space="preserve">Smart </w:t>
      </w:r>
      <w:proofErr w:type="spellStart"/>
      <w:r w:rsidRPr="007F7F52">
        <w:rPr>
          <w:rFonts w:ascii="Times New Roman" w:hAnsi="Times New Roman"/>
          <w:i/>
          <w:sz w:val="22"/>
          <w:lang w:val="fr-FR"/>
        </w:rPr>
        <w:t>defence</w:t>
      </w:r>
      <w:proofErr w:type="spellEnd"/>
      <w:r w:rsidRPr="007F7F52">
        <w:rPr>
          <w:rFonts w:ascii="Times New Roman" w:hAnsi="Times New Roman"/>
          <w:sz w:val="22"/>
          <w:lang w:val="fr-FR"/>
        </w:rPr>
        <w:t xml:space="preserve"> de l’OTAN et le </w:t>
      </w:r>
      <w:r w:rsidRPr="007F7F52">
        <w:rPr>
          <w:rFonts w:ascii="Times New Roman" w:hAnsi="Times New Roman"/>
          <w:i/>
          <w:sz w:val="22"/>
          <w:lang w:val="fr-FR"/>
        </w:rPr>
        <w:t>Pooling and Sharing</w:t>
      </w:r>
      <w:r w:rsidRPr="007F7F52">
        <w:rPr>
          <w:rFonts w:ascii="Times New Roman" w:hAnsi="Times New Roman"/>
          <w:sz w:val="22"/>
          <w:lang w:val="fr-FR"/>
        </w:rPr>
        <w:t xml:space="preserve"> de l’Union européenne sont des opportunités intéressantes, mais elles ne rempliront leur vocation que si elles sont vécues par tous comme un atout pour faire plus ensemble, et non comme une excuse pour faire moins chacun. Elles ne doivent pas être de simples esquives financières, au détriment de la base industrielle et technologique de défense (BITD) nationale et européenne. »</w:t>
      </w:r>
      <w:r w:rsidRPr="007F7F52">
        <w:rPr>
          <w:rStyle w:val="Appelnotedebasdep"/>
          <w:rFonts w:ascii="Times New Roman" w:hAnsi="Times New Roman"/>
          <w:sz w:val="22"/>
        </w:rPr>
        <w:footnoteReference w:id="45"/>
      </w:r>
    </w:p>
    <w:p w:rsidR="007F7F52" w:rsidRDefault="007F7F52" w:rsidP="007F7F52">
      <w:pPr>
        <w:rPr>
          <w:szCs w:val="24"/>
          <w:lang w:val="fr-FR"/>
        </w:rPr>
      </w:pPr>
    </w:p>
    <w:p w:rsidR="00DA259E" w:rsidRPr="007F7F52" w:rsidRDefault="00DA259E" w:rsidP="00DA259E">
      <w:pPr>
        <w:pStyle w:val="Paragraphedeliste"/>
        <w:numPr>
          <w:ilvl w:val="0"/>
          <w:numId w:val="15"/>
        </w:numPr>
        <w:suppressAutoHyphens/>
        <w:spacing w:after="0"/>
        <w:contextualSpacing w:val="0"/>
        <w:rPr>
          <w:rFonts w:ascii="Times New Roman" w:hAnsi="Times New Roman"/>
          <w:sz w:val="22"/>
          <w:lang w:val="fr-FR"/>
        </w:rPr>
      </w:pPr>
      <w:r w:rsidRPr="007F7F52">
        <w:rPr>
          <w:rFonts w:ascii="Times New Roman" w:hAnsi="Times New Roman"/>
          <w:sz w:val="22"/>
          <w:lang w:val="fr-FR"/>
        </w:rPr>
        <w:t>La crise économique accélère le constat selon lequel il n’est plus possible de « tout faire tout seul ». La nécessité de faire des choix impose aussi de renforcer les coopérations mais aussi l’interopérabilité entre partenaires et alliés dans la mesure où les actions en coalition deviennent la norme</w:t>
      </w:r>
      <w:r w:rsidRPr="007F7F52">
        <w:rPr>
          <w:rStyle w:val="Appelnotedebasdep"/>
          <w:rFonts w:ascii="Times New Roman" w:hAnsi="Times New Roman"/>
          <w:sz w:val="22"/>
        </w:rPr>
        <w:footnoteReference w:id="46"/>
      </w:r>
      <w:r w:rsidRPr="007F7F52">
        <w:rPr>
          <w:rFonts w:ascii="Times New Roman" w:hAnsi="Times New Roman"/>
          <w:sz w:val="22"/>
          <w:lang w:val="fr-FR"/>
        </w:rPr>
        <w:t xml:space="preserve">, même si tout le </w:t>
      </w:r>
      <w:r w:rsidRPr="007F7F52">
        <w:rPr>
          <w:rFonts w:ascii="Times New Roman" w:hAnsi="Times New Roman"/>
          <w:sz w:val="22"/>
          <w:lang w:val="fr-FR"/>
        </w:rPr>
        <w:lastRenderedPageBreak/>
        <w:t>monde ne rentre pas en premier (</w:t>
      </w:r>
      <w:r w:rsidRPr="007F7F52">
        <w:rPr>
          <w:rFonts w:ascii="Times New Roman" w:hAnsi="Times New Roman"/>
          <w:i/>
          <w:sz w:val="22"/>
          <w:lang w:val="fr-FR"/>
        </w:rPr>
        <w:t>cf</w:t>
      </w:r>
      <w:r w:rsidRPr="007F7F52">
        <w:rPr>
          <w:rFonts w:ascii="Times New Roman" w:hAnsi="Times New Roman"/>
          <w:sz w:val="22"/>
          <w:lang w:val="fr-FR"/>
        </w:rPr>
        <w:t>. Libye, Mali). Cependant, certains analystes ont une défiance générale sur les coopérations, sinon sur leur illusion, à propos des alliés européens</w:t>
      </w:r>
      <w:r w:rsidRPr="007F7F52">
        <w:rPr>
          <w:rStyle w:val="Appelnotedebasdep"/>
          <w:rFonts w:ascii="Times New Roman" w:hAnsi="Times New Roman"/>
          <w:sz w:val="22"/>
        </w:rPr>
        <w:footnoteReference w:id="47"/>
      </w:r>
      <w:r w:rsidRPr="007F7F52">
        <w:rPr>
          <w:rFonts w:ascii="Times New Roman" w:hAnsi="Times New Roman"/>
          <w:sz w:val="22"/>
          <w:lang w:val="fr-FR"/>
        </w:rPr>
        <w:t>.</w:t>
      </w:r>
    </w:p>
    <w:p w:rsidR="00DA259E" w:rsidRDefault="00DA259E" w:rsidP="00DA259E">
      <w:pPr>
        <w:rPr>
          <w:sz w:val="22"/>
          <w:szCs w:val="22"/>
          <w:lang w:val="fr-FR"/>
        </w:rPr>
      </w:pPr>
    </w:p>
    <w:p w:rsidR="00A55FDC" w:rsidRDefault="00A55FDC" w:rsidP="00DA259E">
      <w:pPr>
        <w:rPr>
          <w:sz w:val="22"/>
          <w:szCs w:val="22"/>
          <w:lang w:val="fr-FR"/>
        </w:rPr>
      </w:pPr>
    </w:p>
    <w:p w:rsidR="00A55FDC" w:rsidRDefault="00603254" w:rsidP="00DA259E">
      <w:pPr>
        <w:rPr>
          <w:sz w:val="22"/>
          <w:szCs w:val="22"/>
          <w:lang w:val="fr-FR"/>
        </w:rPr>
      </w:pPr>
      <w:r w:rsidRPr="00603254">
        <w:rPr>
          <w:noProof/>
          <w:sz w:val="22"/>
          <w:szCs w:val="22"/>
        </w:rPr>
        <w:pict>
          <v:shape id="_x0000_s1031" type="#_x0000_t202" style="position:absolute;margin-left:0;margin-top:0;width:445.5pt;height:521.25pt;z-index:25182617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">
            <v:textbox>
              <w:txbxContent>
                <w:p w:rsidR="00A55FDC" w:rsidRDefault="00A55FDC" w:rsidP="00A55FDC">
                  <w:pPr>
                    <w:spacing w:before="28" w:after="28"/>
                    <w:ind w:left="378" w:right="227"/>
                    <w:jc w:val="both"/>
                    <w:rPr>
                      <w:sz w:val="22"/>
                      <w:szCs w:val="22"/>
                      <w:lang w:val="fr-FR"/>
                    </w:rPr>
                  </w:pPr>
                </w:p>
                <w:p w:rsidR="00A55FDC" w:rsidRPr="00D96B0C" w:rsidRDefault="00A55FDC" w:rsidP="00A55FDC">
                  <w:pPr>
                    <w:spacing w:before="28" w:after="28"/>
                    <w:ind w:left="378" w:right="227"/>
                    <w:jc w:val="both"/>
                    <w:rPr>
                      <w:sz w:val="22"/>
                      <w:szCs w:val="22"/>
                      <w:lang w:val="fr-FR"/>
                    </w:rPr>
                  </w:pPr>
                  <w:r w:rsidRPr="00D96B0C">
                    <w:rPr>
                      <w:sz w:val="22"/>
                      <w:szCs w:val="22"/>
                      <w:lang w:val="fr-FR"/>
                    </w:rPr>
                    <w:t>« Vous m’avez aussi interrogé sur l’évolution et le calendrier de l’Europe de la défense. Je rencontre plusieurs fois par an mes homologues dans le cadre de l’Union européenne et nous sommes prêts à faire beaucoup de choses. Mais cela fait trop longtemps que les initiatives prises peinent à déboucher ou bien souvent sur des structures inutilisables […]. Il y a eu beaucoup d’initiatives ces dernières années, mais je vais commencer par vous dire ce qui fonctionne […].</w:t>
                  </w:r>
                </w:p>
                <w:p w:rsidR="00A55FDC" w:rsidRPr="00D96B0C" w:rsidRDefault="00A55FDC" w:rsidP="00A55FDC">
                  <w:pPr>
                    <w:spacing w:before="28" w:after="28"/>
                    <w:ind w:left="378" w:right="227"/>
                    <w:jc w:val="both"/>
                    <w:rPr>
                      <w:sz w:val="22"/>
                      <w:szCs w:val="22"/>
                      <w:lang w:val="fr-FR"/>
                    </w:rPr>
                  </w:pPr>
                  <w:r w:rsidRPr="00D96B0C">
                    <w:rPr>
                      <w:sz w:val="22"/>
                      <w:szCs w:val="22"/>
                      <w:lang w:val="fr-FR"/>
                    </w:rPr>
                    <w:t xml:space="preserve">Et l’on peut imaginer une coopération franco-allemande ou franco-britannique dans d’autres domaines que l’infanterie mécanisée. Techniquement, cela ne présente pas de grandes difficultés militaires. Avec les Allemands, nous avons ainsi commencé à rapprocher nos deux services de santé des armées ; d’abord, parce que nos deux pays estiment être au même niveau ; ensuite, parce que l’approche de la médecine est la même en Allemagne et en France. En termes de médecine d’urgence, les Anglo-saxons ont une conception très différente. Avec les Allemands, des échanges de chercheurs ont déjà lieu entre nos laboratoires et il semble possible d’envisager avoir des laboratoires communs, des hôpitaux militaires communs : en opération, il est plus facile de déployer un hôpital militaire commun qu’une brigade mécanisée – la question de l’ouverture du feu ne se pose pas ! </w:t>
                  </w:r>
                </w:p>
                <w:p w:rsidR="00A55FDC" w:rsidRPr="00D96B0C" w:rsidRDefault="00A55FDC" w:rsidP="00A55FDC">
                  <w:pPr>
                    <w:spacing w:before="28" w:after="28"/>
                    <w:ind w:left="378" w:right="227"/>
                    <w:jc w:val="both"/>
                    <w:rPr>
                      <w:sz w:val="22"/>
                      <w:szCs w:val="22"/>
                      <w:lang w:val="fr-FR"/>
                    </w:rPr>
                  </w:pPr>
                  <w:r w:rsidRPr="00D96B0C">
                    <w:rPr>
                      <w:sz w:val="22"/>
                      <w:szCs w:val="22"/>
                      <w:lang w:val="fr-FR"/>
                    </w:rPr>
                    <w:t>Je ne sais si nous parviendrons à faire la même chose dans d’autres domaines. Nous réfléchissons à certaines idées, mais dans la mesure où elles sont plutôt françaises, je souhaite en réserver la primeur à mes interlocuteurs européens. La construction de l’Europe de la défense doit à la fois venir du haut – c’est l’ambition politique – et partir du bas, en espérant que cela se rejoigne ! Une autre bonne surprise. Le 1</w:t>
                  </w:r>
                  <w:r w:rsidRPr="00D96B0C">
                    <w:rPr>
                      <w:sz w:val="22"/>
                      <w:szCs w:val="22"/>
                      <w:vertAlign w:val="superscript"/>
                      <w:lang w:val="fr-FR"/>
                    </w:rPr>
                    <w:t>er</w:t>
                  </w:r>
                  <w:r w:rsidRPr="00D96B0C">
                    <w:rPr>
                      <w:sz w:val="22"/>
                      <w:szCs w:val="22"/>
                      <w:lang w:val="fr-FR"/>
                    </w:rPr>
                    <w:t xml:space="preserve"> septembre 2010, nous avons ainsi créé l’EATC – </w:t>
                  </w:r>
                  <w:r w:rsidRPr="00D96B0C">
                    <w:rPr>
                      <w:i/>
                      <w:iCs/>
                      <w:sz w:val="22"/>
                      <w:szCs w:val="22"/>
                      <w:lang w:val="fr-FR"/>
                    </w:rPr>
                    <w:t>European Air Transport Command</w:t>
                  </w:r>
                  <w:r w:rsidRPr="00D96B0C">
                    <w:rPr>
                      <w:sz w:val="22"/>
                      <w:szCs w:val="22"/>
                      <w:lang w:val="fr-FR"/>
                    </w:rPr>
                    <w:t xml:space="preserve"> – qui est basé à Eindhoven aux Pays-Bas. C’est une bourse d’échange de transports aériens militaires. Cela nous paraissait un peu baroque au départ, mais en décembre 2010, après l’élection présidentielle en Côte d’Ivoire, lorsque nous avons, à la demande de l’ONU, envoyé trois compagnies de combat supplémentaires pour aider la mission de l’ONU à Abidjan, l’ONUCI, nous avons utilisé des avions néerlandais, belges et allemands, mais pas un seul français. À l’inverse, deux mois plus tard, c’est nous qui transportions les Belges à l’autre bout de l’Afrique dans une zone où nous ne sommes pas d’habitude. Donc, cela fonctionne et c’est un Français, le général Valentin, actuel patron de l’École de guerre, qui prendra le commandement de cette structure le 1er août. Cela fonctionne d’ailleurs tellement bien que nous souhaiterions faire la même chose avec les ravitailleurs en vol, mais cela risque d’être un peu plus compliqué.</w:t>
                  </w:r>
                </w:p>
                <w:p w:rsidR="00A55FDC" w:rsidRPr="00D96B0C" w:rsidRDefault="00A55FDC" w:rsidP="00A55FDC">
                  <w:pPr>
                    <w:spacing w:before="28" w:after="28"/>
                    <w:ind w:left="378" w:right="227"/>
                    <w:jc w:val="both"/>
                    <w:rPr>
                      <w:sz w:val="22"/>
                      <w:szCs w:val="22"/>
                      <w:lang w:val="fr-FR"/>
                    </w:rPr>
                  </w:pPr>
                  <w:r w:rsidRPr="00D96B0C">
                    <w:rPr>
                      <w:sz w:val="22"/>
                      <w:szCs w:val="22"/>
                      <w:lang w:val="fr-FR"/>
                    </w:rPr>
                    <w:t>Quant au calendrier, le plus vite sera le mieux. Mais la question de la souveraineté est souvent posée : comment faire pour récupérer ses forces en cas de besoin ? Chaque pays y est attaché, selon sa géographie, son histoire, ses capacités industrielles, et selon sa propre conception de la souveraineté. »</w:t>
                  </w:r>
                </w:p>
                <w:p w:rsidR="00A55FDC" w:rsidRPr="00D96B0C" w:rsidRDefault="00A55FDC" w:rsidP="00A55FDC">
                  <w:pPr>
                    <w:spacing w:before="28" w:after="28"/>
                    <w:ind w:left="378" w:right="227"/>
                    <w:jc w:val="both"/>
                    <w:rPr>
                      <w:sz w:val="22"/>
                      <w:szCs w:val="22"/>
                      <w:lang w:val="fr-FR"/>
                    </w:rPr>
                  </w:pPr>
                </w:p>
                <w:p w:rsidR="00A55FDC" w:rsidRPr="00D96B0C" w:rsidRDefault="00A55FDC" w:rsidP="00A55FDC">
                  <w:pPr>
                    <w:spacing w:before="28" w:after="28"/>
                    <w:ind w:left="378" w:right="227"/>
                    <w:jc w:val="both"/>
                    <w:rPr>
                      <w:sz w:val="22"/>
                      <w:szCs w:val="22"/>
                      <w:lang w:val="fr-FR"/>
                    </w:rPr>
                  </w:pPr>
                  <w:r w:rsidRPr="00D96B0C">
                    <w:rPr>
                      <w:sz w:val="22"/>
                      <w:szCs w:val="22"/>
                      <w:lang w:val="fr-FR"/>
                    </w:rPr>
                    <w:t>Amiral Guillaud, audition, Assemblée nationale, Paris, 11 juillet 2012</w:t>
                  </w:r>
                </w:p>
                <w:p w:rsidR="00A55FDC" w:rsidRPr="00D96B0C" w:rsidRDefault="00A55FDC" w:rsidP="00A55FDC">
                  <w:pPr>
                    <w:spacing w:before="28" w:after="28"/>
                    <w:ind w:left="378" w:right="227"/>
                    <w:jc w:val="both"/>
                    <w:rPr>
                      <w:sz w:val="22"/>
                      <w:szCs w:val="22"/>
                      <w:lang w:val="fr-FR"/>
                    </w:rPr>
                  </w:pPr>
                </w:p>
                <w:p w:rsidR="00A55FDC" w:rsidRPr="00A55FDC" w:rsidRDefault="00A55FDC">
                  <w:pPr>
                    <w:rPr>
                      <w:lang w:val="fr-FR"/>
                    </w:rPr>
                  </w:pPr>
                </w:p>
              </w:txbxContent>
            </v:textbox>
          </v:shape>
        </w:pict>
      </w: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A55FDC" w:rsidRDefault="00A55FDC" w:rsidP="00DA259E">
      <w:pPr>
        <w:rPr>
          <w:sz w:val="22"/>
          <w:szCs w:val="22"/>
          <w:lang w:val="fr-FR"/>
        </w:rPr>
      </w:pPr>
    </w:p>
    <w:p w:rsidR="00DA259E" w:rsidRPr="007F7F52" w:rsidRDefault="00DA259E" w:rsidP="00DA259E">
      <w:pPr>
        <w:pStyle w:val="Paragraphedeliste"/>
        <w:numPr>
          <w:ilvl w:val="0"/>
          <w:numId w:val="15"/>
        </w:numPr>
        <w:suppressAutoHyphens/>
        <w:spacing w:after="0"/>
        <w:contextualSpacing w:val="0"/>
        <w:rPr>
          <w:rFonts w:ascii="Times New Roman" w:hAnsi="Times New Roman"/>
          <w:b/>
          <w:sz w:val="22"/>
          <w:lang w:val="fr-FR"/>
        </w:rPr>
      </w:pPr>
      <w:r w:rsidRPr="007F7F52">
        <w:rPr>
          <w:rFonts w:ascii="Times New Roman" w:hAnsi="Times New Roman"/>
          <w:sz w:val="22"/>
          <w:lang w:val="fr-FR"/>
        </w:rPr>
        <w:lastRenderedPageBreak/>
        <w:t>L’évolution géopolitique euro-américaine et la complémentarité « apaisée » entre l’UE et l’OTAN pourraient favoriser un rééquilibrage du pilier européen dans l’Alliance.</w:t>
      </w:r>
    </w:p>
    <w:p w:rsidR="00DA259E" w:rsidRDefault="00DA259E" w:rsidP="00DA259E">
      <w:pPr>
        <w:rPr>
          <w:b/>
          <w:sz w:val="28"/>
          <w:szCs w:val="28"/>
          <w:lang w:val="fr-FR"/>
        </w:rPr>
      </w:pPr>
    </w:p>
    <w:p w:rsidR="00A55FDC" w:rsidRDefault="00603254" w:rsidP="00DA259E">
      <w:pPr>
        <w:rPr>
          <w:b/>
          <w:sz w:val="28"/>
          <w:szCs w:val="28"/>
          <w:lang w:val="fr-FR"/>
        </w:rPr>
      </w:pPr>
      <w:r w:rsidRPr="00603254">
        <w:rPr>
          <w:b/>
          <w:noProof/>
          <w:sz w:val="28"/>
          <w:szCs w:val="28"/>
        </w:rPr>
        <w:pict>
          <v:shape id="_x0000_s1032" type="#_x0000_t202" style="position:absolute;margin-left:0;margin-top:0;width:446.25pt;height:110.55pt;z-index:251828224;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">
            <v:textbox style="mso-fit-shape-to-text:t">
              <w:txbxContent>
                <w:p w:rsidR="00A55FDC" w:rsidRDefault="00A55FDC" w:rsidP="00A55FDC">
                  <w:pPr>
                    <w:ind w:left="157"/>
                    <w:jc w:val="both"/>
                    <w:rPr>
                      <w:sz w:val="22"/>
                      <w:szCs w:val="22"/>
                      <w:lang w:val="fr-FR"/>
                    </w:rPr>
                  </w:pPr>
                </w:p>
                <w:p w:rsidR="00A55FDC" w:rsidRPr="007F7F52" w:rsidRDefault="00A55FDC" w:rsidP="00A55FDC">
                  <w:pPr>
                    <w:ind w:left="157"/>
                    <w:jc w:val="both"/>
                    <w:rPr>
                      <w:sz w:val="22"/>
                      <w:szCs w:val="22"/>
                      <w:lang w:val="fr-FR"/>
                    </w:rPr>
                  </w:pPr>
                  <w:r w:rsidRPr="007F7F52">
                    <w:rPr>
                      <w:sz w:val="22"/>
                      <w:szCs w:val="22"/>
                      <w:lang w:val="fr-FR"/>
                    </w:rPr>
                    <w:t xml:space="preserve">« L’OTAN c’est trois choses : une formidable boîte à outils qui fonctionne ; une structure de commandement militaire </w:t>
                  </w:r>
                  <w:r w:rsidRPr="007F7F52">
                    <w:rPr>
                      <w:sz w:val="22"/>
                      <w:szCs w:val="22"/>
                      <w:lang w:val="fr-BE"/>
                    </w:rPr>
                    <w:t>–</w:t>
                  </w:r>
                  <w:r w:rsidRPr="007F7F52">
                    <w:rPr>
                      <w:sz w:val="22"/>
                      <w:szCs w:val="22"/>
                      <w:lang w:val="fr-FR"/>
                    </w:rPr>
                    <w:t xml:space="preserve"> l’affaire libyenne a permis d’identifier certaines difficultés de fonctionnement </w:t>
                  </w:r>
                  <w:r w:rsidRPr="007F7F52">
                    <w:rPr>
                      <w:sz w:val="22"/>
                      <w:szCs w:val="22"/>
                      <w:lang w:val="fr-BE"/>
                    </w:rPr>
                    <w:t>–</w:t>
                  </w:r>
                  <w:r w:rsidRPr="007F7F52">
                    <w:rPr>
                      <w:sz w:val="22"/>
                      <w:szCs w:val="22"/>
                      <w:lang w:val="fr-FR"/>
                    </w:rPr>
                    <w:t xml:space="preserve"> ; enfin, une structure politique </w:t>
                  </w:r>
                  <w:r w:rsidRPr="007F7F52">
                    <w:rPr>
                      <w:sz w:val="22"/>
                      <w:szCs w:val="22"/>
                      <w:lang w:val="fr-BE"/>
                    </w:rPr>
                    <w:t>–</w:t>
                  </w:r>
                  <w:r w:rsidRPr="007F7F52">
                    <w:rPr>
                      <w:sz w:val="22"/>
                      <w:szCs w:val="22"/>
                      <w:lang w:val="fr-FR"/>
                    </w:rPr>
                    <w:t xml:space="preserve"> et là c’est une foire d’empoigne à vingt-huit ! En tant que boîte à outils, l’OTAN nous intéresse directement et notre retour d’expérience est extrêmement positif. D’abord, si nous n’étions pas revenus dans le commandement intégré, nous n’aurions pu intervenir en Libye car, quelles que soient nos propositions, nous aurions toujours été soupçonnés de vouloir affaiblir et dénigrer l’OTAN. À présent, nous sommes écoutés. Nous avons ainsi une véritable capacité d’influence et des postes à responsabilité dans la structure de commandement militaire. Dans la réorganisation des structures de l’OTAN, nous avons obtenu les postes que nous souhaitions. Celui du général </w:t>
                  </w:r>
                  <w:proofErr w:type="spellStart"/>
                  <w:r w:rsidRPr="007F7F52">
                    <w:rPr>
                      <w:sz w:val="22"/>
                      <w:szCs w:val="22"/>
                      <w:lang w:val="fr-FR"/>
                    </w:rPr>
                    <w:t>Abrial</w:t>
                  </w:r>
                  <w:proofErr w:type="spellEnd"/>
                  <w:r w:rsidRPr="007F7F52">
                    <w:rPr>
                      <w:sz w:val="22"/>
                      <w:szCs w:val="22"/>
                      <w:lang w:val="fr-FR"/>
                    </w:rPr>
                    <w:t>, par exemple, à Norfolk, est un poste très important qui a pris énormément d’envergure et qui permet de travailler avec l’Union européenne et l’Agence européenne de défense, elle-même dirigée par une Française, Mme Claude-France Arnould. De ce point de vue, le retour est donc très positif. »</w:t>
                  </w:r>
                </w:p>
                <w:p w:rsidR="00A55FDC" w:rsidRPr="007F7F52" w:rsidRDefault="00A55FDC" w:rsidP="00A55FDC">
                  <w:pPr>
                    <w:ind w:left="157"/>
                    <w:jc w:val="both"/>
                    <w:rPr>
                      <w:sz w:val="22"/>
                      <w:szCs w:val="22"/>
                      <w:lang w:val="fr-FR"/>
                    </w:rPr>
                  </w:pPr>
                </w:p>
                <w:p w:rsidR="00A55FDC" w:rsidRDefault="00A55FDC" w:rsidP="00A55FDC">
                  <w:pPr>
                    <w:ind w:left="157"/>
                    <w:jc w:val="both"/>
                    <w:rPr>
                      <w:sz w:val="22"/>
                      <w:szCs w:val="22"/>
                      <w:lang w:val="fr-FR"/>
                    </w:rPr>
                  </w:pPr>
                  <w:r w:rsidRPr="007F7F52">
                    <w:rPr>
                      <w:sz w:val="22"/>
                      <w:szCs w:val="22"/>
                      <w:lang w:val="fr-FR"/>
                    </w:rPr>
                    <w:t>Amiral Guillaud, audition, Assemblée nationale, Paris, 11 juillet 2012.</w:t>
                  </w:r>
                </w:p>
                <w:p w:rsidR="00A55FDC" w:rsidRPr="00A55FDC" w:rsidRDefault="00A55FDC">
                  <w:pPr>
                    <w:rPr>
                      <w:lang w:val="fr-FR"/>
                    </w:rPr>
                  </w:pPr>
                </w:p>
              </w:txbxContent>
            </v:textbox>
          </v:shape>
        </w:pict>
      </w: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A55FDC" w:rsidRDefault="00A55FDC" w:rsidP="00DA259E">
      <w:pPr>
        <w:rPr>
          <w:b/>
          <w:sz w:val="28"/>
          <w:szCs w:val="28"/>
          <w:lang w:val="fr-FR"/>
        </w:rPr>
      </w:pPr>
    </w:p>
    <w:p w:rsidR="00254A7B" w:rsidRDefault="00254A7B">
      <w:pPr>
        <w:rPr>
          <w:rFonts w:ascii="Century Schoolbook" w:hAnsi="Century Schoolbook"/>
          <w:b/>
          <w:color w:val="1F497D"/>
          <w:sz w:val="48"/>
          <w:szCs w:val="48"/>
          <w:lang w:val="fr-BE"/>
        </w:rPr>
      </w:pPr>
      <w:r>
        <w:rPr>
          <w:rFonts w:ascii="Century Schoolbook" w:hAnsi="Century Schoolbook"/>
          <w:b/>
          <w:color w:val="1F497D"/>
          <w:sz w:val="48"/>
          <w:szCs w:val="48"/>
          <w:lang w:val="fr-BE"/>
        </w:rPr>
        <w:br w:type="page"/>
      </w:r>
    </w:p>
    <w:p w:rsidR="00DA259E" w:rsidRPr="00254A7B" w:rsidRDefault="00603254" w:rsidP="00254A7B">
      <w:pPr>
        <w:spacing w:after="360"/>
        <w:ind w:left="993"/>
        <w:jc w:val="both"/>
        <w:rPr>
          <w:rFonts w:ascii="Century Schoolbook" w:hAnsi="Century Schoolbook"/>
          <w:b/>
          <w:color w:val="1F497D"/>
          <w:sz w:val="48"/>
          <w:szCs w:val="48"/>
          <w:lang w:val="fr-BE"/>
        </w:rPr>
      </w:pPr>
      <w:r w:rsidRPr="00603254">
        <w:rPr>
          <w:noProof/>
        </w:rPr>
        <w:lastRenderedPageBreak/>
        <w:pict>
          <v:rect id="_x0000_s1043" style="position:absolute;left:0;text-align:left;margin-left:-7.15pt;margin-top:17.75pt;width:36pt;height:63pt;z-index:2518097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" fillcolor="#1f497d" stroked="f" strokeweight="0" insetpen="t">
            <v:shadow color="#ccc"/>
            <v:textbox inset="2.88pt,2.88pt,2.88pt,2.88pt"/>
          </v:rect>
        </w:pict>
      </w:r>
      <w:r w:rsidR="00DA259E" w:rsidRPr="00254A7B">
        <w:rPr>
          <w:rFonts w:ascii="Century Schoolbook" w:hAnsi="Century Schoolbook"/>
          <w:b/>
          <w:color w:val="1F497D"/>
          <w:sz w:val="48"/>
          <w:szCs w:val="48"/>
          <w:lang w:val="fr-BE"/>
        </w:rPr>
        <w:t>Partie 2 : Lignes de forces « européistes » du Livre blanc français de la défense</w:t>
      </w:r>
    </w:p>
    <w:p w:rsidR="00DA259E" w:rsidRDefault="00DA259E" w:rsidP="00DA259E">
      <w:pPr>
        <w:rPr>
          <w:b/>
          <w:sz w:val="28"/>
          <w:szCs w:val="28"/>
          <w:lang w:val="fr-FR"/>
        </w:rPr>
      </w:pPr>
    </w:p>
    <w:p w:rsidR="00DA259E" w:rsidRDefault="00DA259E" w:rsidP="00DA259E">
      <w:pPr>
        <w:rPr>
          <w:b/>
          <w:sz w:val="28"/>
          <w:szCs w:val="28"/>
          <w:lang w:val="fr-FR"/>
        </w:rPr>
      </w:pPr>
    </w:p>
    <w:p w:rsidR="00DA259E" w:rsidRPr="00CA0FBA" w:rsidRDefault="00A55FDC" w:rsidP="00254A7B">
      <w:pPr>
        <w:jc w:val="both"/>
        <w:rPr>
          <w:sz w:val="22"/>
          <w:szCs w:val="22"/>
          <w:lang w:val="fr-FR"/>
        </w:rPr>
      </w:pPr>
      <w:r>
        <w:rPr>
          <w:sz w:val="22"/>
          <w:szCs w:val="22"/>
          <w:lang w:val="fr-FR"/>
        </w:rPr>
        <w:t>Nous</w:t>
      </w:r>
      <w:r w:rsidR="00DA259E" w:rsidRPr="00CA0FBA">
        <w:rPr>
          <w:sz w:val="22"/>
          <w:szCs w:val="22"/>
          <w:lang w:val="fr-FR"/>
        </w:rPr>
        <w:t xml:space="preserve"> nous focaliserons sur la visibilité UE et OTAN du document officiel français</w:t>
      </w:r>
      <w:r w:rsidR="00DA259E" w:rsidRPr="00CA0FBA">
        <w:rPr>
          <w:rStyle w:val="Appelnotedebasdep"/>
          <w:sz w:val="22"/>
          <w:szCs w:val="22"/>
        </w:rPr>
        <w:footnoteReference w:id="48"/>
      </w:r>
      <w:r w:rsidR="00DA259E" w:rsidRPr="00CA0FBA">
        <w:rPr>
          <w:sz w:val="22"/>
          <w:szCs w:val="22"/>
          <w:lang w:val="fr-FR"/>
        </w:rPr>
        <w:t>. Il s’agira dans cette 2</w:t>
      </w:r>
      <w:r w:rsidR="00DA259E" w:rsidRPr="00CA0FBA">
        <w:rPr>
          <w:sz w:val="22"/>
          <w:szCs w:val="22"/>
          <w:vertAlign w:val="superscript"/>
          <w:lang w:val="fr-FR"/>
        </w:rPr>
        <w:t>e</w:t>
      </w:r>
      <w:r w:rsidR="00DA259E" w:rsidRPr="00CA0FBA">
        <w:rPr>
          <w:sz w:val="22"/>
          <w:szCs w:val="22"/>
          <w:lang w:val="fr-FR"/>
        </w:rPr>
        <w:t xml:space="preserve"> partie de déterminer dans quel(s) chapitre(s), les notions de sécurité et de défense européenne sont mises en valeur, à la fois dans le champ de l’Union et dans celui de l’Alliance atlantique, et plus particulièrement dans sa version « pilier européen ». Nous tenterons ensuite de prendre en compte les réactions politiques et militaires ainsi que celles émanant des think tanks français à la parution du Livre blanc dans ses aspects européens. Enfin, nous proposerons quelques recommandations autour de la posture belge face à son grand voisin du sud.</w:t>
      </w:r>
    </w:p>
    <w:p w:rsidR="00DA259E" w:rsidRPr="00254A7B" w:rsidRDefault="00DA259E" w:rsidP="00254A7B">
      <w:pPr>
        <w:jc w:val="both"/>
        <w:rPr>
          <w:rFonts w:asciiTheme="minorHAnsi" w:hAnsiTheme="minorHAnsi" w:cstheme="minorHAnsi"/>
          <w:szCs w:val="24"/>
          <w:lang w:val="fr-FR"/>
        </w:rPr>
      </w:pPr>
    </w:p>
    <w:p w:rsidR="00DA259E" w:rsidRPr="00254A7B" w:rsidRDefault="00DA259E" w:rsidP="00254A7B">
      <w:pPr>
        <w:jc w:val="both"/>
        <w:rPr>
          <w:rFonts w:asciiTheme="minorHAnsi" w:hAnsiTheme="minorHAnsi" w:cstheme="minorHAnsi"/>
          <w:szCs w:val="24"/>
          <w:lang w:val="fr-FR"/>
        </w:rPr>
      </w:pPr>
    </w:p>
    <w:p w:rsidR="00DA259E" w:rsidRPr="00CA0FBA" w:rsidRDefault="00DA259E" w:rsidP="00254A7B">
      <w:pPr>
        <w:pStyle w:val="Paragraphedeliste"/>
        <w:numPr>
          <w:ilvl w:val="1"/>
          <w:numId w:val="16"/>
        </w:numPr>
        <w:suppressAutoHyphens/>
        <w:spacing w:after="0"/>
        <w:contextualSpacing w:val="0"/>
        <w:rPr>
          <w:rFonts w:ascii="Times New Roman" w:hAnsi="Times New Roman"/>
          <w:b/>
          <w:sz w:val="28"/>
          <w:szCs w:val="28"/>
          <w:lang w:val="fr-FR"/>
        </w:rPr>
      </w:pPr>
      <w:r w:rsidRPr="00CA0FBA">
        <w:rPr>
          <w:rFonts w:ascii="Times New Roman" w:hAnsi="Times New Roman"/>
          <w:b/>
          <w:sz w:val="28"/>
          <w:szCs w:val="28"/>
          <w:lang w:val="fr-FR"/>
        </w:rPr>
        <w:t>Contenu et premiers enseignements</w:t>
      </w:r>
    </w:p>
    <w:p w:rsidR="00DA259E" w:rsidRPr="00254A7B" w:rsidRDefault="00DA259E" w:rsidP="00254A7B">
      <w:pPr>
        <w:jc w:val="both"/>
        <w:rPr>
          <w:rFonts w:asciiTheme="minorHAnsi" w:hAnsiTheme="minorHAnsi" w:cstheme="minorHAnsi"/>
          <w:b/>
          <w:sz w:val="28"/>
          <w:szCs w:val="28"/>
          <w:lang w:val="fr-FR"/>
        </w:rPr>
      </w:pPr>
    </w:p>
    <w:p w:rsidR="00DA259E" w:rsidRPr="00CA0FBA" w:rsidRDefault="00DA259E" w:rsidP="00254A7B">
      <w:pPr>
        <w:jc w:val="both"/>
        <w:rPr>
          <w:sz w:val="22"/>
          <w:szCs w:val="22"/>
          <w:lang w:val="fr-FR"/>
        </w:rPr>
      </w:pPr>
      <w:r w:rsidRPr="00CA0FBA">
        <w:rPr>
          <w:sz w:val="22"/>
          <w:szCs w:val="22"/>
          <w:lang w:val="fr-FR"/>
        </w:rPr>
        <w:t xml:space="preserve">L’importance qui est accordée à l’Europe est très visible dans le Livre blanc 2013, que ce soit </w:t>
      </w:r>
      <w:r w:rsidR="00A55FDC">
        <w:rPr>
          <w:sz w:val="22"/>
          <w:szCs w:val="22"/>
          <w:lang w:val="fr-FR"/>
        </w:rPr>
        <w:t>à propos</w:t>
      </w:r>
      <w:r w:rsidRPr="00CA0FBA">
        <w:rPr>
          <w:sz w:val="22"/>
          <w:szCs w:val="22"/>
          <w:lang w:val="fr-FR"/>
        </w:rPr>
        <w:t xml:space="preserve"> d</w:t>
      </w:r>
      <w:r w:rsidR="00A55FDC">
        <w:rPr>
          <w:sz w:val="22"/>
          <w:szCs w:val="22"/>
          <w:lang w:val="fr-FR"/>
        </w:rPr>
        <w:t>e l’</w:t>
      </w:r>
      <w:r w:rsidRPr="00CA0FBA">
        <w:rPr>
          <w:sz w:val="22"/>
          <w:szCs w:val="22"/>
          <w:lang w:val="fr-FR"/>
        </w:rPr>
        <w:t xml:space="preserve">argumentaire sur les effets de la crise économique </w:t>
      </w:r>
      <w:r w:rsidR="00A55FDC">
        <w:rPr>
          <w:sz w:val="22"/>
          <w:szCs w:val="22"/>
          <w:lang w:val="fr-FR"/>
        </w:rPr>
        <w:t xml:space="preserve">en </w:t>
      </w:r>
      <w:r w:rsidRPr="00CA0FBA">
        <w:rPr>
          <w:sz w:val="22"/>
          <w:szCs w:val="22"/>
          <w:lang w:val="fr-FR"/>
        </w:rPr>
        <w:t>Europe, le choix de faire participer un Britannique et un Allemand à l’élaboration du document hexagonal ou de l’intérêt à inscrire l’effort national autour de la sécurité de la France dans « le cadre plus large de la construction d’une défense européenne efficace »</w:t>
      </w:r>
      <w:r w:rsidRPr="00CA0FBA">
        <w:rPr>
          <w:rStyle w:val="Appelnotedebasdep"/>
          <w:sz w:val="22"/>
          <w:szCs w:val="22"/>
        </w:rPr>
        <w:footnoteReference w:id="49"/>
      </w:r>
      <w:r w:rsidRPr="00CA0FBA">
        <w:rPr>
          <w:sz w:val="22"/>
          <w:szCs w:val="22"/>
          <w:lang w:val="fr-FR"/>
        </w:rPr>
        <w:t>. Pour Francis Delon du SGDN, « l’Europe constitue l’une des clés de voûte du Livre blanc français conformément à l’orientation qu’a souhaitée François Hollande »</w:t>
      </w:r>
      <w:r w:rsidRPr="00CA0FBA">
        <w:rPr>
          <w:rStyle w:val="Appelnotedebasdep"/>
          <w:sz w:val="22"/>
          <w:szCs w:val="22"/>
        </w:rPr>
        <w:footnoteReference w:id="50"/>
      </w:r>
      <w:r w:rsidRPr="00CA0FBA">
        <w:rPr>
          <w:sz w:val="22"/>
          <w:szCs w:val="22"/>
          <w:lang w:val="fr-FR"/>
        </w:rPr>
        <w:t>.</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La dimension économique de la sécurité-défense est mise en relation avec la crise économique mondiale et ses effets sur la réduction des dépenses militaires américaines. Cela va se traduire par « une pression accrue sur les Européens pour qu’ils prennent en charge les problèmes de sécurité qui les concernent » (pp. 9-10). Cependant, on insiste aussi sur le constat selon lequel, dans le domaine de la sécurité, la contrainte budgétaire s’est d’abord traduite par une baisse constante des budgets de la défense, « sans qu’une coordination entre Européens permette d’en atténuer l’impact sur l’effort global de l’Union » (p. 10).</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L’Europe est également citée lorsqu’il s’agit de préciser les zones d’intérêt commun, qu’il s’agisse du monde arabe, des Balkans ou de l’Afrique.</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Les notions de réponse collective et de confrontation aux mêmes risques et menaces sont mises en avant ; les partenaires et alliés sont alors associés à la construction de solidarité autant que de la recherche de capacités communes qui doivent naître de ces interdépendances.</w:t>
      </w:r>
    </w:p>
    <w:p w:rsidR="00DA259E" w:rsidRPr="00CA0FBA" w:rsidRDefault="00DA259E" w:rsidP="00DA259E">
      <w:pPr>
        <w:rPr>
          <w:sz w:val="22"/>
          <w:szCs w:val="22"/>
          <w:lang w:val="fr-FR"/>
        </w:rPr>
      </w:pPr>
      <w:r w:rsidRPr="00CA0FBA">
        <w:rPr>
          <w:sz w:val="22"/>
          <w:szCs w:val="22"/>
          <w:lang w:val="fr-FR"/>
        </w:rPr>
        <w:t>Relevons que pour la France, ses partenaires premiers sont les États membres de l’Union européenne, « avec lesquels elle s’est reconnue, depuis plus d’un demi-siècle, une véritable communauté de destin » (p. 11). Cette posture géopolitique impose pour elle des responsabilités dont celle de « porter une attention vigilante à ses propres capacités nationales » (p. 11).</w:t>
      </w:r>
    </w:p>
    <w:p w:rsidR="00DA259E" w:rsidRDefault="00DA259E" w:rsidP="00DA259E">
      <w:pPr>
        <w:rPr>
          <w:szCs w:val="24"/>
          <w:lang w:val="fr-FR"/>
        </w:rPr>
      </w:pPr>
    </w:p>
    <w:p w:rsidR="00DA259E" w:rsidRPr="00CA0FBA" w:rsidRDefault="00DA259E" w:rsidP="00254A7B">
      <w:pPr>
        <w:jc w:val="both"/>
        <w:rPr>
          <w:sz w:val="22"/>
          <w:szCs w:val="22"/>
          <w:lang w:val="fr-FR"/>
        </w:rPr>
      </w:pPr>
      <w:r w:rsidRPr="00CA0FBA">
        <w:rPr>
          <w:sz w:val="22"/>
          <w:szCs w:val="22"/>
          <w:lang w:val="fr-FR"/>
        </w:rPr>
        <w:t>Un autre volet récurrent dans le Livre blanc 2013 est l’importance que les Européens doivent accorder collectivement au partage des moyens à engager de manière coordonnée entre États membres. Ici également, Paris estime « qu’elle contribuera d’autant mieux à une réponse collective qu’elle aura su garder une capacité d’initiative et d’entraînement » (p. 11). Cette expression de « capacité d’initiative et d’entraînement » est répétitive et développée autour des engagements nationaux dans les constructions institutionnelles, dont l’Union européenne (pp. 16-17) mais aussi dans le sous-chapitre sur l’indépendance et la souveraineté hexagonale (p. 21).</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Il y a bien un appel, dès l’introduction du document officiel, à cette ouverture au dialogue politique entre Européens pour une nouvelle ambition où les dépendances ne seraient pas subies mais assumées tout en préservant les souverainetés nationales. En d’autres mots, concilier souveraineté et dépendances mutuelles.</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 xml:space="preserve">Un rappel est également fait autour de l’approche dite globale, la France adoptant une démarche analogue à celle de la plupart de ses grands partenaires et de l’Union européenne (p. 11). </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La France se perçoit comme une « puissance européenne au rayonnement global »</w:t>
      </w:r>
      <w:r w:rsidRPr="00CA0FBA">
        <w:rPr>
          <w:rStyle w:val="Appelnotedebasdep"/>
          <w:sz w:val="22"/>
          <w:szCs w:val="22"/>
        </w:rPr>
        <w:footnoteReference w:id="51"/>
      </w:r>
      <w:r w:rsidRPr="00CA0FBA">
        <w:rPr>
          <w:sz w:val="22"/>
          <w:szCs w:val="22"/>
          <w:lang w:val="fr-FR"/>
        </w:rPr>
        <w:t xml:space="preserve">, rappelant aussi qu’elle fait partie d’un ensemble de 500 millions de citoyens unis par des valeurs communes de démocratie, de justice et de paix et que la construction européenne fut permise par la réconciliation franco-allemande (p. 16). Le Livre blanc insiste sur ce qui caractérise l’Union européenne : projet commun, économie de marché, respect des spécificités nationales, négociations et état de droit, méthode communautaire, refus du recours à la force, maîtrise de son destin. L’Europe fait bénéficier la France et réciproquement. </w:t>
      </w:r>
    </w:p>
    <w:p w:rsidR="00A55FDC" w:rsidRDefault="00A55FDC" w:rsidP="00254A7B">
      <w:pPr>
        <w:jc w:val="both"/>
        <w:rPr>
          <w:sz w:val="22"/>
          <w:szCs w:val="22"/>
          <w:lang w:val="fr-FR"/>
        </w:rPr>
      </w:pPr>
    </w:p>
    <w:p w:rsidR="00A55FDC" w:rsidRDefault="00603254" w:rsidP="00254A7B">
      <w:pPr>
        <w:jc w:val="both"/>
        <w:rPr>
          <w:sz w:val="22"/>
          <w:szCs w:val="22"/>
          <w:lang w:val="fr-FR"/>
        </w:rPr>
      </w:pPr>
      <w:r w:rsidRPr="00603254">
        <w:rPr>
          <w:noProof/>
          <w:sz w:val="22"/>
          <w:szCs w:val="22"/>
        </w:rPr>
        <w:pict>
          <v:shape id="_x0000_s1033" type="#_x0000_t202" style="position:absolute;left:0;text-align:left;margin-left:0;margin-top:0;width:422.25pt;height:332.25pt;z-index:25183027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BhJgIAAEw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">
            <v:textbox>
              <w:txbxContent>
                <w:p w:rsidR="00A55FDC" w:rsidRPr="00CA0FBA" w:rsidRDefault="00A55FDC" w:rsidP="00A55FDC">
                  <w:pPr>
                    <w:ind w:left="232"/>
                    <w:jc w:val="both"/>
                    <w:rPr>
                      <w:sz w:val="22"/>
                      <w:szCs w:val="22"/>
                      <w:lang w:val="fr-FR"/>
                    </w:rPr>
                  </w:pPr>
                  <w:r w:rsidRPr="00CA0FBA">
                    <w:rPr>
                      <w:sz w:val="22"/>
                      <w:szCs w:val="22"/>
                      <w:lang w:val="fr-FR"/>
                    </w:rPr>
                    <w:t>« Il ne fait guère de doute, cependant, que la crise des dernières années a, pour un temps, affaibli le projet européen et son attractivité. La crise a mis en évidence les différences de situation et d’approche entre les membres de l’Union dans le domaine économique et financier. Celles-ci existent également dans le domaine de la sécurité. Bien que le Traité de Lisbonne, en introduisant des clauses de solidarité et de défense collective, ait reconnu le fait que les pays de l’Union sont également concernés par la plupart des menaces ; les perceptions, les cultures stratégiques et les ambitions nationales demeurent très diverses. L’histoire propre à chaque membre de l’Union se reflète dans les liens noués sur tous les continents et dans des visions parfois contrastées du rôle de la force militaire dans les relations internationales. Cette diversité peut être une richesse, dès lors que chaque pays apporte à la construction commune son expérience, mais elle peut être aussi une source de méfiance réciproque et rend illusoire tout projet d’intégration rapide. À cet égard, les progrès trop lents de la politique de défense et de sécurité européenne montrent que des institutions ne peuvent pas, à elles seules, transformer les perceptions nationales. L’adhésion des peuples est indispensable. Elle ne peut se construire que dans le débat démocratique, dans une volonté politique commune, dans des expériences partagées et dans la prise de conscience d’intérêts communs et des priorités stratégiques de tous. Dans le domaine économique, la crise a confronté l’Union européenne à des choix</w:t>
                  </w:r>
                  <w:r>
                    <w:rPr>
                      <w:sz w:val="22"/>
                      <w:szCs w:val="22"/>
                      <w:lang w:val="fr-FR"/>
                    </w:rPr>
                    <w:t xml:space="preserve"> </w:t>
                  </w:r>
                  <w:r w:rsidRPr="00CA0FBA">
                    <w:rPr>
                      <w:sz w:val="22"/>
                      <w:szCs w:val="22"/>
                      <w:lang w:val="fr-FR"/>
                    </w:rPr>
                    <w:t>difficiles, suscitant dans tous les pays membres de vifs débats. Sous la pression des événements, des progrès qualitatifs vers davantage d’intégration sont maintenant en voie d’être accomplis en matière budgétaire et financière. Cette intégration croissante devrait à terme trouver son prolongement politique dans le domaine de la sécurité et de la défense. C’est dans cette perspective, qui constitue pour elle un objectif essentiel, que la France conçoit son avenir et l’exercice de sa souveraineté. » (p. 17)</w:t>
                  </w:r>
                </w:p>
                <w:p w:rsidR="00A55FDC" w:rsidRDefault="00A55FDC" w:rsidP="00A55FDC">
                  <w:pPr>
                    <w:spacing w:before="28" w:after="28"/>
                    <w:ind w:left="378" w:right="227"/>
                    <w:jc w:val="both"/>
                    <w:rPr>
                      <w:lang w:val="fr-FR"/>
                    </w:rPr>
                  </w:pPr>
                </w:p>
              </w:txbxContent>
            </v:textbox>
          </v:shape>
        </w:pict>
      </w: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A55FDC" w:rsidRDefault="00A55FDC"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L’Europe, comme première puissance économique et commerciale demeure un modèle, tout en étant aussi le réceptacle des valeurs que l’Hexagone a toujours mises en avant par sa politique étrangère et européenne : « la réussite interne de l’Union constitue non seulement une clé de l’avenir politique et économique de la France mais aussi un fondement essentiel de sa sécurité, en contribuant à construire un monde qui correspond à ses valeurs » (p. 17).</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En outre, l’Europe concourt à la sécurité collective en intervenant dans la gestion des crises régionales, tout en étant associée aux États-Unis et au Canada, vue comme une communauté transatlantique de valeurs et d’intérêts (p. 16).</w:t>
      </w:r>
    </w:p>
    <w:p w:rsidR="00DA259E" w:rsidRPr="00CA0FBA" w:rsidRDefault="00DA259E" w:rsidP="00254A7B">
      <w:pPr>
        <w:jc w:val="both"/>
        <w:rPr>
          <w:sz w:val="22"/>
          <w:szCs w:val="22"/>
          <w:lang w:val="fr-FR"/>
        </w:rPr>
      </w:pPr>
    </w:p>
    <w:p w:rsidR="00DA259E" w:rsidRPr="00CA0FBA" w:rsidRDefault="00DA259E" w:rsidP="00254A7B">
      <w:pPr>
        <w:jc w:val="both"/>
        <w:rPr>
          <w:sz w:val="22"/>
          <w:szCs w:val="22"/>
          <w:lang w:val="fr-FR"/>
        </w:rPr>
      </w:pPr>
      <w:r w:rsidRPr="00CA0FBA">
        <w:rPr>
          <w:sz w:val="22"/>
          <w:szCs w:val="22"/>
          <w:lang w:val="fr-FR"/>
        </w:rPr>
        <w:t>Si au chapitre 2, l’on aborde les fondements de la stratégie de défense et de sécurité nationale, en insistant encore sur la préservation de l’indépendance et de la souveraineté de la France (p. 19), les capacités françaises doivent également lui permettre « de s’engager dans des politiques de dépendance mutuelle avec ses partenaires de l’Union européenne » (p. 21). L’objectif est bien de mieux se coordonner pour éviter lacunes et doublons capacitaires, tout en garantissant des interdépendances librement consenties. Il s’agit de préserver la souveraineté de chaque État membre en accroissant les moyens disponibles à l’échelle européenne. Ici, l’ordre des engagements repose d’abord sur l’Allemagne (p. 21), citant l’Eurocorps et souhaitant que le processus de professionnalisation de la Bundeswehr aboutisse à de nouvelles avancées entre les deux pays. À la suite, le Livre blanc développe la coopération franco-britannique autour des intérêts vitaux communs, les initiatives de Saint-Mal</w:t>
      </w:r>
      <w:r w:rsidR="00A55FDC">
        <w:rPr>
          <w:sz w:val="22"/>
          <w:szCs w:val="22"/>
          <w:lang w:val="fr-FR"/>
        </w:rPr>
        <w:t>o (1998), du Touquet (2003) et l</w:t>
      </w:r>
      <w:r w:rsidRPr="00CA0FBA">
        <w:rPr>
          <w:sz w:val="22"/>
          <w:szCs w:val="22"/>
          <w:lang w:val="fr-FR"/>
        </w:rPr>
        <w:t xml:space="preserve">es accords de Lancaster House (2010) qui améliorent les coopérations bilatérales, stratégiques, opérationnelles et expéditionnaires. Enfin, la France souhaite ouvrir ses deux partenariats privilégiés à d’autres États membres de l’Union européenne, citant les groupes de Weimar, Weimar+, </w:t>
      </w:r>
      <w:proofErr w:type="spellStart"/>
      <w:r w:rsidRPr="00CA0FBA">
        <w:rPr>
          <w:sz w:val="22"/>
          <w:szCs w:val="22"/>
          <w:lang w:val="fr-FR"/>
        </w:rPr>
        <w:t>Visegrad</w:t>
      </w:r>
      <w:proofErr w:type="spellEnd"/>
      <w:r w:rsidRPr="00CA0FBA">
        <w:rPr>
          <w:sz w:val="22"/>
          <w:szCs w:val="22"/>
          <w:lang w:val="fr-FR"/>
        </w:rPr>
        <w:t xml:space="preserve">+. Il est également précisé que « la France partage des intérêts de sécurité communs avec </w:t>
      </w:r>
      <w:r w:rsidRPr="00CA0FBA">
        <w:rPr>
          <w:sz w:val="22"/>
          <w:szCs w:val="22"/>
          <w:u w:val="single"/>
          <w:lang w:val="fr-FR"/>
        </w:rPr>
        <w:t>tous</w:t>
      </w:r>
      <w:r w:rsidR="00A55FDC" w:rsidRPr="00A55FDC">
        <w:rPr>
          <w:rStyle w:val="Appelnotedebasdep"/>
          <w:sz w:val="22"/>
          <w:szCs w:val="22"/>
          <w:lang w:val="fr-FR"/>
        </w:rPr>
        <w:footnoteReference w:id="52"/>
      </w:r>
      <w:r w:rsidRPr="00A55FDC">
        <w:rPr>
          <w:sz w:val="22"/>
          <w:szCs w:val="22"/>
          <w:lang w:val="fr-FR"/>
        </w:rPr>
        <w:t>les</w:t>
      </w:r>
      <w:r w:rsidRPr="00CA0FBA">
        <w:rPr>
          <w:sz w:val="22"/>
          <w:szCs w:val="22"/>
          <w:lang w:val="fr-FR"/>
        </w:rPr>
        <w:t xml:space="preserve"> États membres de l’Union européenne et noue avec </w:t>
      </w:r>
      <w:r w:rsidRPr="00CA0FBA">
        <w:rPr>
          <w:sz w:val="22"/>
          <w:szCs w:val="22"/>
          <w:u w:val="single"/>
          <w:lang w:val="fr-FR"/>
        </w:rPr>
        <w:t>chacun</w:t>
      </w:r>
      <w:r w:rsidRPr="00CA0FBA">
        <w:rPr>
          <w:sz w:val="22"/>
          <w:szCs w:val="22"/>
          <w:lang w:val="fr-FR"/>
        </w:rPr>
        <w:t xml:space="preserve"> des relations de défense et de sécurité </w:t>
      </w:r>
      <w:r w:rsidRPr="00CA0FBA">
        <w:rPr>
          <w:sz w:val="22"/>
          <w:szCs w:val="22"/>
          <w:u w:val="single"/>
          <w:lang w:val="fr-FR"/>
        </w:rPr>
        <w:t>appropriées</w:t>
      </w:r>
      <w:r w:rsidRPr="00CA0FBA">
        <w:rPr>
          <w:sz w:val="22"/>
          <w:szCs w:val="22"/>
          <w:lang w:val="fr-FR"/>
        </w:rPr>
        <w:t xml:space="preserve"> » (p. 22). Ces initiatives autour de « convergences stratégiques entre Européens » le sont et le seront en complémentarité avec la PSDC. La France met également en avant l’idée selon laquelle le mode strictement national ne peut être conservé en termes capacitaires. Mieux, il s’agit pour elle d’accepter une plus grande spécialisation des nations européennes autour de pôles d’excellence, entre autres, en matière industrielle, en citant l’apport de la </w:t>
      </w:r>
      <w:proofErr w:type="spellStart"/>
      <w:r w:rsidRPr="00CA0FBA">
        <w:rPr>
          <w:i/>
          <w:sz w:val="22"/>
          <w:szCs w:val="22"/>
          <w:lang w:val="fr-FR"/>
        </w:rPr>
        <w:t>Letter</w:t>
      </w:r>
      <w:proofErr w:type="spellEnd"/>
      <w:r w:rsidRPr="00CA0FBA">
        <w:rPr>
          <w:i/>
          <w:sz w:val="22"/>
          <w:szCs w:val="22"/>
          <w:lang w:val="fr-FR"/>
        </w:rPr>
        <w:t xml:space="preserve"> of </w:t>
      </w:r>
      <w:proofErr w:type="spellStart"/>
      <w:r w:rsidRPr="00CA0FBA">
        <w:rPr>
          <w:i/>
          <w:sz w:val="22"/>
          <w:szCs w:val="22"/>
          <w:lang w:val="fr-FR"/>
        </w:rPr>
        <w:t>Intent</w:t>
      </w:r>
      <w:proofErr w:type="spellEnd"/>
      <w:r w:rsidRPr="00CA0FBA">
        <w:rPr>
          <w:sz w:val="22"/>
          <w:szCs w:val="22"/>
          <w:lang w:val="fr-FR"/>
        </w:rPr>
        <w:t xml:space="preserve"> (</w:t>
      </w:r>
      <w:proofErr w:type="spellStart"/>
      <w:r w:rsidRPr="00CA0FBA">
        <w:rPr>
          <w:sz w:val="22"/>
          <w:szCs w:val="22"/>
          <w:lang w:val="fr-FR"/>
        </w:rPr>
        <w:t>LoI</w:t>
      </w:r>
      <w:proofErr w:type="spellEnd"/>
      <w:r w:rsidRPr="00CA0FBA">
        <w:rPr>
          <w:sz w:val="22"/>
          <w:szCs w:val="22"/>
          <w:lang w:val="fr-FR"/>
        </w:rPr>
        <w:t>) et d’autres coopérations, avec le soutien de l’Agence européenne de défense (p. 22).</w:t>
      </w:r>
    </w:p>
    <w:p w:rsidR="00DA259E" w:rsidRPr="00CA0FBA" w:rsidRDefault="00DA259E" w:rsidP="00DA259E">
      <w:pPr>
        <w:rPr>
          <w:sz w:val="22"/>
          <w:szCs w:val="22"/>
          <w:lang w:val="fr-FR"/>
        </w:rPr>
      </w:pPr>
    </w:p>
    <w:p w:rsidR="00DA259E" w:rsidRPr="00CA0FBA" w:rsidRDefault="00DA259E" w:rsidP="00563491">
      <w:pPr>
        <w:jc w:val="both"/>
        <w:rPr>
          <w:sz w:val="22"/>
          <w:szCs w:val="22"/>
          <w:lang w:val="fr-FR"/>
        </w:rPr>
      </w:pPr>
      <w:r w:rsidRPr="00CA0FBA">
        <w:rPr>
          <w:sz w:val="22"/>
          <w:szCs w:val="22"/>
          <w:lang w:val="fr-FR"/>
        </w:rPr>
        <w:t>La nouvelle posture stratégique et budgétaire américaine est mise en évidence avec une plus grande sélectivité dans les engagements extérieurs – à l’exception de l’article 5 de défense collective jugé intouchable – et plus particulièrement à propos d’une longue présence au sol. La réduction des effectifs terrestres, maritimes et nucléaires américains en Europe sur fond de crise budgétaire et de rééquilibrage partiel en zones asiatique et pacifique impose une responsabilisation plus assumée des Européens dans la sécurité du voisinage et de l’Afrique</w:t>
      </w:r>
      <w:r w:rsidRPr="00CA0FBA">
        <w:rPr>
          <w:rStyle w:val="Appelnotedebasdep"/>
          <w:sz w:val="22"/>
          <w:szCs w:val="22"/>
        </w:rPr>
        <w:footnoteReference w:id="53"/>
      </w:r>
      <w:r w:rsidRPr="00CA0FBA">
        <w:rPr>
          <w:sz w:val="22"/>
          <w:szCs w:val="22"/>
          <w:lang w:val="fr-FR"/>
        </w:rPr>
        <w:t>. Nous serions face à un partage des tâches et des zones. « Les conditions des opérations menées en Libye et au Mali pourraient avoir préfiguré un mode d’action appelé à se reproduire dans des situations où les intérêts américains sont moins directement mis en cause. Sans être, dans ce cas, en première ligne politiquement et militairement, les États-Unis pourraient soutenir l’action des Européens, ceux-ci n’ayant cependant pas de garantie quant aux capacités éventuellement mises à leur disposition. » (p. 30)</w:t>
      </w:r>
    </w:p>
    <w:p w:rsidR="00DA259E" w:rsidRPr="00CA0FBA" w:rsidRDefault="00DA259E" w:rsidP="00DA259E">
      <w:pPr>
        <w:rPr>
          <w:sz w:val="22"/>
          <w:szCs w:val="22"/>
          <w:lang w:val="fr-FR"/>
        </w:rPr>
      </w:pPr>
    </w:p>
    <w:p w:rsidR="00DA259E" w:rsidRPr="00CA0FBA" w:rsidRDefault="00DA259E" w:rsidP="00563491">
      <w:pPr>
        <w:jc w:val="both"/>
        <w:rPr>
          <w:sz w:val="22"/>
          <w:szCs w:val="22"/>
          <w:lang w:val="fr-FR"/>
        </w:rPr>
      </w:pPr>
      <w:r w:rsidRPr="00CA0FBA">
        <w:rPr>
          <w:sz w:val="22"/>
          <w:szCs w:val="22"/>
          <w:lang w:val="fr-FR"/>
        </w:rPr>
        <w:t>Le Livre blanc met également en lumière les réticences européennes à disposer d’une plus grande part de responsabilité dans la sécurité du continent européen, et plus largement du monde, malgré les incitations américaines (p. 31). Avec un effort de défense passé sous la barre de 1% du PIB, certains pays européens alimentent en quelque sorte une PSDC qui, aujourd’hui, reste modeste. Or, la mondialisation, la crise économique, le poids des pays émergents, les États en déliquescence, les risques majeurs et les nouvelles menaces peuvent avoir des conséquences sur l’Europe en général et la France en particulier. L’exemple de l’instabilité des révolutions arabes est mis en avant.</w:t>
      </w:r>
    </w:p>
    <w:p w:rsidR="00DA259E" w:rsidRPr="00CA0FBA" w:rsidRDefault="00DA259E" w:rsidP="00DA259E">
      <w:pPr>
        <w:rPr>
          <w:sz w:val="22"/>
          <w:szCs w:val="22"/>
          <w:lang w:val="fr-FR"/>
        </w:rPr>
      </w:pPr>
    </w:p>
    <w:p w:rsidR="00DA259E" w:rsidRPr="00CA0FBA" w:rsidRDefault="00DA259E" w:rsidP="00563491">
      <w:pPr>
        <w:jc w:val="both"/>
        <w:rPr>
          <w:sz w:val="22"/>
          <w:szCs w:val="22"/>
          <w:lang w:val="fr-FR"/>
        </w:rPr>
      </w:pPr>
      <w:r w:rsidRPr="00CA0FBA">
        <w:rPr>
          <w:sz w:val="22"/>
          <w:szCs w:val="22"/>
          <w:lang w:val="fr-FR"/>
        </w:rPr>
        <w:t>Dans le chapitre 4, il est question des priorités stratégiques de la France avec cette question hautement politique : « Face aux risques et aux menaces, serons-nous seuls, ou pourrons-nous, dans certains cas, compter sur le concours de nos alliés et de nos partenaires européens ? » (p. 47) Le Livre blanc tente alors de hiérarchiser l’échelle des priorités :</w:t>
      </w:r>
    </w:p>
    <w:p w:rsidR="00DA259E" w:rsidRPr="00CA0FBA" w:rsidRDefault="00DA259E" w:rsidP="00DA259E">
      <w:pPr>
        <w:rPr>
          <w:sz w:val="22"/>
          <w:szCs w:val="22"/>
          <w:lang w:val="fr-FR"/>
        </w:rPr>
      </w:pPr>
    </w:p>
    <w:p w:rsidR="00DA259E" w:rsidRPr="00CA0FBA" w:rsidRDefault="00DA259E" w:rsidP="00DA259E">
      <w:pPr>
        <w:rPr>
          <w:sz w:val="22"/>
          <w:szCs w:val="22"/>
          <w:lang w:val="fr-FR"/>
        </w:rPr>
      </w:pPr>
      <w:r w:rsidRPr="00CA0FBA">
        <w:rPr>
          <w:sz w:val="22"/>
          <w:szCs w:val="22"/>
          <w:lang w:val="fr-FR"/>
        </w:rPr>
        <w:t>« - protéger le territoire national et les ressortissants français, et garantir la continuité des fonctions essentielles de la Nation ;</w:t>
      </w:r>
    </w:p>
    <w:p w:rsidR="00DA259E" w:rsidRPr="00CA0FBA" w:rsidRDefault="00DA259E" w:rsidP="00DA259E">
      <w:pPr>
        <w:rPr>
          <w:sz w:val="22"/>
          <w:szCs w:val="22"/>
          <w:lang w:val="fr-FR"/>
        </w:rPr>
      </w:pPr>
      <w:r w:rsidRPr="00CA0FBA">
        <w:rPr>
          <w:sz w:val="22"/>
          <w:szCs w:val="22"/>
          <w:lang w:val="fr-FR"/>
        </w:rPr>
        <w:t>- garantir avec nos partenaires et alliés la sécurité de l’Europe et de l’espace nord-atlantique ;</w:t>
      </w:r>
    </w:p>
    <w:p w:rsidR="00DA259E" w:rsidRPr="00CA0FBA" w:rsidRDefault="00DA259E" w:rsidP="00DA259E">
      <w:pPr>
        <w:rPr>
          <w:sz w:val="22"/>
          <w:szCs w:val="22"/>
          <w:lang w:val="fr-FR"/>
        </w:rPr>
      </w:pPr>
      <w:r w:rsidRPr="00CA0FBA">
        <w:rPr>
          <w:sz w:val="22"/>
          <w:szCs w:val="22"/>
          <w:lang w:val="fr-FR"/>
        </w:rPr>
        <w:t>- stabiliser avec nos partenaires et alliés les approches de l’Europe ;</w:t>
      </w:r>
    </w:p>
    <w:p w:rsidR="00DA259E" w:rsidRPr="00CA0FBA" w:rsidRDefault="00DA259E" w:rsidP="00DA259E">
      <w:pPr>
        <w:rPr>
          <w:sz w:val="22"/>
          <w:szCs w:val="22"/>
          <w:lang w:val="fr-FR"/>
        </w:rPr>
      </w:pPr>
      <w:r w:rsidRPr="00CA0FBA">
        <w:rPr>
          <w:sz w:val="22"/>
          <w:szCs w:val="22"/>
          <w:lang w:val="fr-FR"/>
        </w:rPr>
        <w:t xml:space="preserve">- participer à la stabilité du Proche-Orient et du Golfe </w:t>
      </w:r>
      <w:proofErr w:type="spellStart"/>
      <w:r w:rsidRPr="00CA0FBA">
        <w:rPr>
          <w:sz w:val="22"/>
          <w:szCs w:val="22"/>
          <w:lang w:val="fr-FR"/>
        </w:rPr>
        <w:t>Arabo-Persique</w:t>
      </w:r>
      <w:proofErr w:type="spellEnd"/>
      <w:r w:rsidRPr="00CA0FBA">
        <w:rPr>
          <w:sz w:val="22"/>
          <w:szCs w:val="22"/>
          <w:lang w:val="fr-FR"/>
        </w:rPr>
        <w:t> ;</w:t>
      </w:r>
    </w:p>
    <w:p w:rsidR="00DA259E" w:rsidRDefault="00DA259E" w:rsidP="00DA259E">
      <w:pPr>
        <w:rPr>
          <w:sz w:val="22"/>
          <w:szCs w:val="22"/>
          <w:lang w:val="fr-FR"/>
        </w:rPr>
      </w:pPr>
      <w:r w:rsidRPr="00CA0FBA">
        <w:rPr>
          <w:sz w:val="22"/>
          <w:szCs w:val="22"/>
          <w:lang w:val="fr-FR"/>
        </w:rPr>
        <w:t>- contribuer à la paix dans le monde. »</w:t>
      </w:r>
    </w:p>
    <w:p w:rsidR="008422D0" w:rsidRPr="00CA0FBA" w:rsidRDefault="008422D0" w:rsidP="00DA259E">
      <w:pPr>
        <w:rPr>
          <w:sz w:val="22"/>
          <w:szCs w:val="22"/>
          <w:lang w:val="fr-FR"/>
        </w:rPr>
      </w:pPr>
    </w:p>
    <w:p w:rsidR="008422D0" w:rsidRDefault="008422D0" w:rsidP="00A915A0">
      <w:pPr>
        <w:jc w:val="both"/>
        <w:rPr>
          <w:sz w:val="22"/>
          <w:szCs w:val="22"/>
          <w:lang w:val="fr-FR"/>
        </w:rPr>
      </w:pPr>
    </w:p>
    <w:p w:rsidR="008422D0" w:rsidRDefault="00603254" w:rsidP="00A915A0">
      <w:pPr>
        <w:jc w:val="both"/>
        <w:rPr>
          <w:sz w:val="22"/>
          <w:szCs w:val="22"/>
          <w:lang w:val="fr-FR"/>
        </w:rPr>
      </w:pPr>
      <w:r w:rsidRPr="00603254">
        <w:rPr>
          <w:noProof/>
          <w:sz w:val="22"/>
          <w:szCs w:val="22"/>
        </w:rPr>
        <w:pict>
          <v:shape id="_x0000_s1034" type="#_x0000_t202" style="position:absolute;left:0;text-align:left;margin-left:0;margin-top:0;width:456pt;height:521.25pt;z-index:25183232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">
            <v:textbox>
              <w:txbxContent>
                <w:p w:rsidR="008422D0" w:rsidRDefault="008422D0" w:rsidP="008422D0">
                  <w:pPr>
                    <w:ind w:left="112"/>
                    <w:jc w:val="both"/>
                    <w:rPr>
                      <w:i/>
                      <w:sz w:val="22"/>
                      <w:szCs w:val="22"/>
                      <w:lang w:val="fr-FR"/>
                    </w:rPr>
                  </w:pPr>
                </w:p>
                <w:p w:rsidR="008422D0" w:rsidRPr="00CA0FBA" w:rsidRDefault="008422D0" w:rsidP="008422D0">
                  <w:pPr>
                    <w:ind w:left="112"/>
                    <w:jc w:val="both"/>
                    <w:rPr>
                      <w:i/>
                      <w:sz w:val="22"/>
                      <w:szCs w:val="22"/>
                      <w:lang w:val="fr-FR"/>
                    </w:rPr>
                  </w:pPr>
                  <w:r w:rsidRPr="00CA0FBA">
                    <w:rPr>
                      <w:i/>
                      <w:sz w:val="22"/>
                      <w:szCs w:val="22"/>
                      <w:lang w:val="fr-FR"/>
                    </w:rPr>
                    <w:t>La plupart des risques et des menaces concernant la France sont très largement partagés par les autres pays membres de l’Union européenne et de l’Alliance Atlantique. En effet, la dimension systémique des risques majeurs et le caractère transnational des menaces se sont renforcés.</w:t>
                  </w:r>
                </w:p>
                <w:p w:rsidR="008422D0" w:rsidRPr="00CA0FBA" w:rsidRDefault="008422D0" w:rsidP="008422D0">
                  <w:pPr>
                    <w:ind w:left="112"/>
                    <w:jc w:val="both"/>
                    <w:rPr>
                      <w:i/>
                      <w:sz w:val="22"/>
                      <w:szCs w:val="22"/>
                      <w:lang w:val="fr-FR"/>
                    </w:rPr>
                  </w:pPr>
                  <w:r w:rsidRPr="00CA0FBA">
                    <w:rPr>
                      <w:i/>
                      <w:sz w:val="22"/>
                      <w:szCs w:val="22"/>
                      <w:lang w:val="fr-FR"/>
                    </w:rPr>
                    <w:t>La même évolution vers une solidarité de droit et de fait avec nos partenaires européens s’observe face à la menace d’une agression étatique. Si, comme la France, aucun des pays européens ne se connaît aujourd’hui d’ennemi étatique déclaré, la possibilité d’une agression militaire directe contre un autre pays européen doit être prise en compte dans l’éventail des risques et menaces.</w:t>
                  </w:r>
                </w:p>
                <w:p w:rsidR="008422D0" w:rsidRPr="00CA0FBA" w:rsidRDefault="008422D0" w:rsidP="008422D0">
                  <w:pPr>
                    <w:ind w:left="112"/>
                    <w:jc w:val="both"/>
                    <w:rPr>
                      <w:i/>
                      <w:sz w:val="22"/>
                      <w:szCs w:val="22"/>
                      <w:lang w:val="fr-FR"/>
                    </w:rPr>
                  </w:pPr>
                  <w:r w:rsidRPr="00CA0FBA">
                    <w:rPr>
                      <w:i/>
                      <w:sz w:val="22"/>
                      <w:szCs w:val="22"/>
                      <w:lang w:val="fr-FR"/>
                    </w:rPr>
                    <w:t>La France se conformera dans ce cas à ses engagements, au titre de l’article 5 du Traité de l’Atlantique Nord, comme au titre de l’article 42.7 du Traité sur le fonctionnement de l’Union européenne.</w:t>
                  </w:r>
                </w:p>
                <w:p w:rsidR="008422D0" w:rsidRPr="00CA0FBA" w:rsidRDefault="008422D0" w:rsidP="008422D0">
                  <w:pPr>
                    <w:ind w:left="112"/>
                    <w:jc w:val="both"/>
                    <w:rPr>
                      <w:sz w:val="22"/>
                      <w:szCs w:val="22"/>
                      <w:lang w:val="fr-FR"/>
                    </w:rPr>
                  </w:pPr>
                  <w:r w:rsidRPr="00CA0FBA">
                    <w:rPr>
                      <w:i/>
                      <w:sz w:val="22"/>
                      <w:szCs w:val="22"/>
                      <w:lang w:val="fr-FR"/>
                    </w:rPr>
                    <w:t>De la même façon, la plupart des risques et des menaces concernent de façon identique les deux rives de l’Atlantique Nord. La nature étroite et profonde de nos relations bilatérales avec les États-Unis et le Canada, nos engagements de défense collective au titre du Traité de l’Atlantique Nord et notre communauté de valeurs structurent entre nous une solidarité de droit et de fait qui a été démontrée à plusieurs reprises ces dernières années. La France continuera d’assumer pleinement ses responsabilités dans ce cadre et d’agir dans cet esprit de solidarité.</w:t>
                  </w:r>
                </w:p>
                <w:p w:rsidR="008422D0" w:rsidRPr="00CA0FBA" w:rsidRDefault="008422D0" w:rsidP="008422D0">
                  <w:pPr>
                    <w:ind w:left="112"/>
                    <w:jc w:val="both"/>
                    <w:rPr>
                      <w:sz w:val="22"/>
                      <w:szCs w:val="22"/>
                      <w:lang w:val="fr-FR"/>
                    </w:rPr>
                  </w:pPr>
                  <w:r w:rsidRPr="00CA0FBA">
                    <w:rPr>
                      <w:i/>
                      <w:sz w:val="22"/>
                      <w:szCs w:val="22"/>
                      <w:lang w:val="fr-FR"/>
                    </w:rPr>
                    <w:t>La prise de conscience de cette exposition partagée aux risques et aux menaces a conduit les États membres de l’Union à développer des instruments communs afin d’y faire face ensemble, le plus souvent possible. Ainsi, à la suite de l’attaque terroriste perpétrée à Madrid le 11 mars 2004, le Conseil européen a adopté une déclaration sur la lutte contre le terrorisme affirmant que les actes terroristes sont des attaques contre les valeurs sur lesquelles est fondée l’Union. Cette déclaration a ouvert la voie à la clause de solidarité introduite par le Traité de Lisbonne entré en vigueur le 1</w:t>
                  </w:r>
                  <w:r w:rsidRPr="00CA0FBA">
                    <w:rPr>
                      <w:i/>
                      <w:sz w:val="22"/>
                      <w:szCs w:val="22"/>
                      <w:vertAlign w:val="superscript"/>
                      <w:lang w:val="fr-FR"/>
                    </w:rPr>
                    <w:t>er</w:t>
                  </w:r>
                  <w:r w:rsidRPr="00CA0FBA">
                    <w:rPr>
                      <w:i/>
                      <w:sz w:val="22"/>
                      <w:szCs w:val="22"/>
                      <w:lang w:val="fr-FR"/>
                    </w:rPr>
                    <w:t xml:space="preserve"> décembre 2009. Couvrant un large spectre de risques et de menaces cette clause prévoit que « l’Union et ses États membres agissent conjointement dans un esprit de solidarité si un État membre est l’objet d’une attaque terroriste ou la victime d’une catastrophe naturelle ou d’origine humaine ». Le Traité prévoit la possibilité de mobiliser à cette fin des moyens très étendus, y compris militaires.</w:t>
                  </w:r>
                  <w:r w:rsidRPr="00CA0FBA">
                    <w:rPr>
                      <w:sz w:val="22"/>
                      <w:szCs w:val="22"/>
                      <w:lang w:val="fr-FR"/>
                    </w:rPr>
                    <w:t xml:space="preserve"> […]</w:t>
                  </w:r>
                </w:p>
                <w:p w:rsidR="008422D0" w:rsidRPr="00CA0FBA" w:rsidRDefault="008422D0" w:rsidP="008422D0">
                  <w:pPr>
                    <w:ind w:left="127"/>
                    <w:jc w:val="both"/>
                    <w:rPr>
                      <w:i/>
                      <w:sz w:val="22"/>
                      <w:szCs w:val="22"/>
                      <w:lang w:val="fr-FR"/>
                    </w:rPr>
                  </w:pPr>
                  <w:r w:rsidRPr="00CA0FBA">
                    <w:rPr>
                      <w:i/>
                      <w:sz w:val="22"/>
                      <w:szCs w:val="22"/>
                      <w:lang w:val="fr-FR"/>
                    </w:rPr>
                    <w:t>Le programme de Stockholm, qui recense un ensemble de priorités de sécurité intérieure, et la stratégie correspondante adoptés par le Conseil européen constituent des jalons importants sur cette voie. Ils attestent que l’ensemble des États de l’Union sont résolus à apporter une réponse commune aux risques et aux menaces qui portent atteinte à leur sécurité intérieure.</w:t>
                  </w:r>
                </w:p>
                <w:p w:rsidR="008422D0" w:rsidRPr="00CA0FBA" w:rsidRDefault="008422D0" w:rsidP="008422D0">
                  <w:pPr>
                    <w:ind w:left="127"/>
                    <w:jc w:val="both"/>
                    <w:rPr>
                      <w:sz w:val="22"/>
                      <w:szCs w:val="22"/>
                      <w:lang w:val="fr-FR"/>
                    </w:rPr>
                  </w:pPr>
                  <w:r w:rsidRPr="00CA0FBA">
                    <w:rPr>
                      <w:i/>
                      <w:sz w:val="22"/>
                      <w:szCs w:val="22"/>
                      <w:lang w:val="fr-FR"/>
                    </w:rPr>
                    <w:t>Il importe notamment que l’Europe soit en mesure de protéger ses infrastructures vitales ainsi que son potentiel industriel, scientifique et technique vis-à-vis d’attaques ou de cyberattaques émanant d’États ou d’organisations animées de velléités d’espionnage ou de sabotage. Par ailleurs, la stabilité de tous les pays de l’espace européen demeure une priorité importante. La période des guerres balkaniques s’éloigne. Cependant, la persistance de tensions territoriales ou communautaires non résolues, que la crise économique est susceptible d’aggraver, peut avoir des effets déstabilisateurs : la résolution d’une situation de crise dans cet espace proche est une responsabilité première des Européens</w:t>
                  </w:r>
                  <w:r w:rsidRPr="00CA0FBA">
                    <w:rPr>
                      <w:sz w:val="22"/>
                      <w:szCs w:val="22"/>
                      <w:lang w:val="fr-FR"/>
                    </w:rPr>
                    <w:t>. (pp. 51-53).</w:t>
                  </w:r>
                </w:p>
                <w:p w:rsidR="008422D0" w:rsidRDefault="008422D0"/>
              </w:txbxContent>
            </v:textbox>
          </v:shape>
        </w:pict>
      </w: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Default="008422D0" w:rsidP="00A915A0">
      <w:pPr>
        <w:jc w:val="both"/>
        <w:rPr>
          <w:sz w:val="22"/>
          <w:szCs w:val="22"/>
          <w:lang w:val="fr-FR"/>
        </w:rPr>
      </w:pPr>
    </w:p>
    <w:p w:rsidR="008422D0" w:rsidRPr="008422D0" w:rsidRDefault="008422D0" w:rsidP="008422D0">
      <w:pPr>
        <w:jc w:val="both"/>
        <w:rPr>
          <w:sz w:val="22"/>
          <w:szCs w:val="22"/>
          <w:lang w:val="fr-FR"/>
        </w:rPr>
      </w:pPr>
      <w:r w:rsidRPr="008422D0">
        <w:rPr>
          <w:sz w:val="22"/>
          <w:szCs w:val="22"/>
          <w:lang w:val="fr-FR"/>
        </w:rPr>
        <w:lastRenderedPageBreak/>
        <w:t>La dimension européenne se retrouve inscrite dans le cadre de la récupération de ressortissants nationaux mais aussi d’Européens pris dans des crises hors zone. Les dimensions sécuritaires européennes et nord-atlantiques sont particulièrement mises en évidence autour d’une garantie commune de protection.</w:t>
      </w:r>
    </w:p>
    <w:p w:rsidR="008422D0" w:rsidRPr="008422D0" w:rsidRDefault="008422D0" w:rsidP="00A915A0">
      <w:pPr>
        <w:jc w:val="both"/>
        <w:rPr>
          <w:sz w:val="22"/>
          <w:szCs w:val="22"/>
          <w:lang w:val="fr-FR"/>
        </w:rPr>
      </w:pPr>
    </w:p>
    <w:p w:rsidR="00DA259E" w:rsidRPr="008422D0" w:rsidRDefault="00DA259E" w:rsidP="00A915A0">
      <w:pPr>
        <w:jc w:val="both"/>
        <w:rPr>
          <w:sz w:val="22"/>
          <w:szCs w:val="22"/>
          <w:lang w:val="fr-FR"/>
        </w:rPr>
      </w:pPr>
      <w:r w:rsidRPr="008422D0">
        <w:rPr>
          <w:sz w:val="22"/>
          <w:szCs w:val="22"/>
          <w:lang w:val="fr-FR"/>
        </w:rPr>
        <w:t xml:space="preserve">Le document insiste également dans un sous-chapitre suivant sur l’obligation de stabilisation du voisinage de l’Europe à organiser ensemble : Ex-Yougoslavie, Caucase, Russie, Turquie, Méditerranée, Sahel, Mauritanie, Corne de l’Afrique, Afrique sub-saharienne. Et de souhaiter que l’ensemble de ces zones soient considérées par les États membres de l’UE comme zones d’intérêt prioritaire ; ce qui n’est pas le cas aujourd’hui, en sous-entendu (p. 56). Il est également fait mention de l’opération </w:t>
      </w:r>
      <w:r w:rsidRPr="008422D0">
        <w:rPr>
          <w:i/>
          <w:sz w:val="22"/>
          <w:szCs w:val="22"/>
          <w:lang w:val="fr-FR"/>
        </w:rPr>
        <w:t>Atalante</w:t>
      </w:r>
      <w:r w:rsidRPr="008422D0">
        <w:rPr>
          <w:sz w:val="22"/>
          <w:szCs w:val="22"/>
          <w:lang w:val="fr-FR"/>
        </w:rPr>
        <w:t xml:space="preserve"> contre la piraterie.</w:t>
      </w:r>
    </w:p>
    <w:p w:rsidR="00DA259E" w:rsidRPr="008422D0" w:rsidRDefault="00DA259E" w:rsidP="00A915A0">
      <w:pPr>
        <w:jc w:val="both"/>
        <w:rPr>
          <w:sz w:val="22"/>
          <w:szCs w:val="22"/>
          <w:lang w:val="fr-FR"/>
        </w:rPr>
      </w:pPr>
    </w:p>
    <w:p w:rsidR="00DA259E" w:rsidRPr="00CA0FBA" w:rsidRDefault="00DA259E" w:rsidP="00A915A0">
      <w:pPr>
        <w:jc w:val="both"/>
        <w:rPr>
          <w:sz w:val="22"/>
          <w:szCs w:val="22"/>
          <w:lang w:val="fr-FR"/>
        </w:rPr>
      </w:pPr>
      <w:r w:rsidRPr="008422D0">
        <w:rPr>
          <w:sz w:val="22"/>
          <w:szCs w:val="22"/>
          <w:lang w:val="fr-FR"/>
        </w:rPr>
        <w:t xml:space="preserve">Le chapitre 5 (repris en annexe 1 dans le présent </w:t>
      </w:r>
      <w:r w:rsidRPr="008422D0">
        <w:rPr>
          <w:i/>
          <w:sz w:val="22"/>
          <w:szCs w:val="22"/>
          <w:lang w:val="fr-FR"/>
        </w:rPr>
        <w:t>Focus Paper</w:t>
      </w:r>
      <w:r w:rsidRPr="008422D0">
        <w:rPr>
          <w:sz w:val="22"/>
          <w:szCs w:val="22"/>
          <w:lang w:val="fr-FR"/>
        </w:rPr>
        <w:t>) est entièrement consacré à l’engagement de la France dans l’Alliance atlantique et dans l’Union européenne. Il y est écrit que la stratégie de défense et de sécurité de la France dans l’Alliance et dans l’UE ne se conçoit pas en dehors de ces cadres (p. 61). La France refuse trois options : le repli sur soi, la délégation aux États-Unis et à l’OTAN et la défense européenne intégrée. Elle préfère le maintien de la souveraineté des décisions, l’engagement plein dans une</w:t>
      </w:r>
      <w:r w:rsidRPr="00CA0FBA">
        <w:rPr>
          <w:sz w:val="22"/>
          <w:szCs w:val="22"/>
          <w:lang w:val="fr-FR"/>
        </w:rPr>
        <w:t xml:space="preserve"> Alliance atlantique dynamique et le volontarisme à l’égard de l’Union européenne.</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t>À propos de la France dans l’OTAN, Paris juge qu’elle assure la défense collective de ses membres, qu’elle est un instrument important du partenariat stratégique entre les deux rives de l’Atlantique et qu’elle peut constituer le cadre commun de l’action militaire s’il y a volonté d’intervenir ensemble. L’analyse se doit de présenter les avantages de cette alliance politico-militaire tout en précisant les différents éléments qui peuvent servir la France, l’Europe et la défense européenne. La « </w:t>
      </w:r>
      <w:r w:rsidRPr="00CA0FBA">
        <w:rPr>
          <w:i/>
          <w:sz w:val="22"/>
          <w:szCs w:val="22"/>
          <w:lang w:val="fr-FR"/>
        </w:rPr>
        <w:t xml:space="preserve">Smart </w:t>
      </w:r>
      <w:proofErr w:type="spellStart"/>
      <w:r w:rsidRPr="00CA0FBA">
        <w:rPr>
          <w:i/>
          <w:sz w:val="22"/>
          <w:szCs w:val="22"/>
          <w:lang w:val="fr-FR"/>
        </w:rPr>
        <w:t>Defence</w:t>
      </w:r>
      <w:proofErr w:type="spellEnd"/>
      <w:r w:rsidRPr="00CA0FBA">
        <w:rPr>
          <w:sz w:val="22"/>
          <w:szCs w:val="22"/>
          <w:lang w:val="fr-FR"/>
        </w:rPr>
        <w:t> » devra cependant « prendre en compte la nécessité de promouvoir des projets portés par l’industrie de défense européenne » (p. 63) sous-entendant toute l’importance que Paris veut accorder à la protection de ses propres industries de défense. L’idée est également d’insister sur la complémentarité entre les deux organisations, y compris entre les concepts de « </w:t>
      </w:r>
      <w:r w:rsidRPr="00CA0FBA">
        <w:rPr>
          <w:i/>
          <w:sz w:val="22"/>
          <w:szCs w:val="22"/>
          <w:lang w:val="fr-FR"/>
        </w:rPr>
        <w:t xml:space="preserve">Smart </w:t>
      </w:r>
      <w:proofErr w:type="spellStart"/>
      <w:r w:rsidRPr="00CA0FBA">
        <w:rPr>
          <w:i/>
          <w:sz w:val="22"/>
          <w:szCs w:val="22"/>
          <w:lang w:val="fr-FR"/>
        </w:rPr>
        <w:t>Defence</w:t>
      </w:r>
      <w:proofErr w:type="spellEnd"/>
      <w:r w:rsidRPr="00CA0FBA">
        <w:rPr>
          <w:sz w:val="22"/>
          <w:szCs w:val="22"/>
          <w:lang w:val="fr-FR"/>
        </w:rPr>
        <w:t> » et de « </w:t>
      </w:r>
      <w:r w:rsidRPr="00CA0FBA">
        <w:rPr>
          <w:i/>
          <w:sz w:val="22"/>
          <w:szCs w:val="22"/>
          <w:lang w:val="fr-FR"/>
        </w:rPr>
        <w:t>Pooling and Sharing</w:t>
      </w:r>
      <w:r w:rsidRPr="00CA0FBA">
        <w:rPr>
          <w:sz w:val="22"/>
          <w:szCs w:val="22"/>
          <w:lang w:val="fr-FR"/>
        </w:rPr>
        <w:t> », tout en indiquant que le partage du fardeau souhaité par les États-Unis « ne pourra être envisagé de manière satisfaisante que s’il favorise le développement de l’industrie européenne de défense » (p. 64).</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t>À propos de la France dans l’Union européenne, nous pouvons lire que la construction européenne en matière de défense et de sécurité est une priorité. Et de souhaiter que l’apport soit profitable à tous</w:t>
      </w:r>
      <w:r w:rsidR="00AE52EA">
        <w:rPr>
          <w:sz w:val="22"/>
          <w:szCs w:val="22"/>
          <w:lang w:val="fr-FR"/>
        </w:rPr>
        <w:t xml:space="preserve"> : </w:t>
      </w:r>
      <w:r w:rsidRPr="00CA0FBA">
        <w:rPr>
          <w:sz w:val="22"/>
          <w:szCs w:val="22"/>
          <w:lang w:val="fr-FR"/>
        </w:rPr>
        <w:t>lecture stratégique française des crises et propositions associées</w:t>
      </w:r>
      <w:r w:rsidR="00AE52EA">
        <w:rPr>
          <w:sz w:val="22"/>
          <w:szCs w:val="22"/>
          <w:lang w:val="fr-FR"/>
        </w:rPr>
        <w:t xml:space="preserve">, </w:t>
      </w:r>
      <w:r w:rsidRPr="00CA0FBA">
        <w:rPr>
          <w:sz w:val="22"/>
          <w:szCs w:val="22"/>
          <w:lang w:val="fr-FR"/>
        </w:rPr>
        <w:t xml:space="preserve">apports des partenaires, du Service européen d’action extérieure (à renforcer) et des agences spécialisées de l’UE (AED, centre satellitaire de </w:t>
      </w:r>
      <w:proofErr w:type="spellStart"/>
      <w:r w:rsidRPr="00CA0FBA">
        <w:rPr>
          <w:sz w:val="22"/>
          <w:szCs w:val="22"/>
          <w:lang w:val="fr-FR"/>
        </w:rPr>
        <w:t>Torrejon</w:t>
      </w:r>
      <w:proofErr w:type="spellEnd"/>
      <w:r w:rsidRPr="00CA0FBA">
        <w:rPr>
          <w:sz w:val="22"/>
          <w:szCs w:val="22"/>
          <w:lang w:val="fr-FR"/>
        </w:rPr>
        <w:t xml:space="preserve">…) </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t>Paris souhaite une vision stratégique fondée sur une analyse partagée des risques et menaces, l’apport des parlementaires</w:t>
      </w:r>
      <w:r w:rsidRPr="00CA0FBA">
        <w:rPr>
          <w:rStyle w:val="Appelnotedebasdep"/>
          <w:sz w:val="22"/>
          <w:szCs w:val="22"/>
        </w:rPr>
        <w:footnoteReference w:id="54"/>
      </w:r>
      <w:r w:rsidRPr="00CA0FBA">
        <w:rPr>
          <w:sz w:val="22"/>
          <w:szCs w:val="22"/>
          <w:lang w:val="fr-FR"/>
        </w:rPr>
        <w:t xml:space="preserve"> autour des débats PSDC, le capacitaire pluridimensionnel de l’UE dans la gestion des crises et les impulsions politiques souhaitées du Conseil européen, à savoir : les missions PSDC, les capacités à développer en commun et les stratégies industrielles relatives au domaine de la défense. La rédaction à terme d’un futur Livre blanc européen est proposée pour exprimer une vision partagée en matière d’intérêts et d’objectifs de l’UE (p. 65).</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t>Reste que la France insiste sur les limites du volontarisme politique de l’Union, la faiblesse dans la coordination des moyens civils et militaires, la lourdeur des procédures en matière opérationnelle, la faible réactivité (et le manque de capacité) lors d’interventions PSDC. Il est proposé de mieux utiliser les cadres existants, y compris la Commission, et de tirer parti de toutes les possibilités offertes par les traités, dont la coopération structurée permanente (CSP), les coopérations renforcées en matière de défense (traité de Lisbonne) et les coopérations bilatérales (franco-britannique, franco-allemande, beneluxienne, etc.) (p. 66).</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lastRenderedPageBreak/>
        <w:t>Le Livre blanc français 2013 va jusqu’à écrire que « la France s’efforcera d’avancer dans cette voie avec les États de l’Union qui partagent la même ambition ». Dès lors, les capacités françaises peuvent jouer un rôle moteur dans le développement de la défense européenne. L’objectif sera de veiller à disposer des capacités critiques</w:t>
      </w:r>
      <w:r w:rsidRPr="00CA0FBA">
        <w:rPr>
          <w:rStyle w:val="Appelnotedebasdep"/>
          <w:sz w:val="22"/>
          <w:szCs w:val="22"/>
        </w:rPr>
        <w:footnoteReference w:id="55"/>
      </w:r>
      <w:r w:rsidRPr="00CA0FBA">
        <w:rPr>
          <w:sz w:val="22"/>
          <w:szCs w:val="22"/>
          <w:lang w:val="fr-FR"/>
        </w:rPr>
        <w:t xml:space="preserve"> nécessaires aux déploiements extérieurs, « tout en s’attachant à mutualiser les programmes correspondants </w:t>
      </w:r>
      <w:r w:rsidRPr="00CA0FBA">
        <w:rPr>
          <w:sz w:val="22"/>
          <w:szCs w:val="22"/>
          <w:u w:val="single"/>
          <w:lang w:val="fr-FR"/>
        </w:rPr>
        <w:t>avec les États les plus capables d’y contribuer</w:t>
      </w:r>
      <w:r w:rsidRPr="00CA0FBA">
        <w:rPr>
          <w:sz w:val="22"/>
          <w:szCs w:val="22"/>
          <w:lang w:val="fr-FR"/>
        </w:rPr>
        <w:t> »</w:t>
      </w:r>
      <w:r w:rsidR="00AE52EA">
        <w:rPr>
          <w:sz w:val="22"/>
          <w:szCs w:val="22"/>
          <w:lang w:val="fr-FR"/>
        </w:rPr>
        <w:t>.</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t>Il est aussi question du soutien de la France au concept de « </w:t>
      </w:r>
      <w:r w:rsidRPr="00CA0FBA">
        <w:rPr>
          <w:i/>
          <w:sz w:val="22"/>
          <w:szCs w:val="22"/>
          <w:lang w:val="fr-FR"/>
        </w:rPr>
        <w:t>Pooling and Sharing</w:t>
      </w:r>
      <w:r w:rsidRPr="00CA0FBA">
        <w:rPr>
          <w:sz w:val="22"/>
          <w:szCs w:val="22"/>
          <w:lang w:val="fr-FR"/>
        </w:rPr>
        <w:t> », à l’OCCAR, au BITD dans sa version européenne, à l’AED et à la contribution spécifique de la Commission à propos de la PSDC, mais aussi à la dimension sécurité intérieure de l’UE avec son approche globale.</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t>Dans le chapitre 6 sur « La mise en œuvre de la stratégie » française qui décrit les cinq fonctions prioritaires que sont la connaissance et l’anticipation, la dissuasion, la protection, la prévention, et enfin l’intervention, le rappel aux partenaires et alliés est codifié dans la dernière partie :</w:t>
      </w:r>
    </w:p>
    <w:p w:rsidR="00DA259E" w:rsidRPr="00CA0FBA" w:rsidRDefault="00DA259E" w:rsidP="00A915A0">
      <w:pPr>
        <w:jc w:val="both"/>
        <w:rPr>
          <w:sz w:val="22"/>
          <w:szCs w:val="22"/>
          <w:lang w:val="fr-FR"/>
        </w:rPr>
      </w:pPr>
    </w:p>
    <w:p w:rsidR="00DA259E" w:rsidRPr="00CA0FBA" w:rsidRDefault="00DA259E" w:rsidP="00A915A0">
      <w:pPr>
        <w:jc w:val="both"/>
        <w:rPr>
          <w:i/>
          <w:sz w:val="22"/>
          <w:szCs w:val="22"/>
          <w:lang w:val="fr-FR"/>
        </w:rPr>
      </w:pPr>
      <w:r w:rsidRPr="00CA0FBA">
        <w:rPr>
          <w:i/>
          <w:sz w:val="22"/>
          <w:szCs w:val="22"/>
          <w:lang w:val="fr-FR"/>
        </w:rPr>
        <w:t>- les opérations conduites de façon autonome, dont des évacuations de ressortissants français ou européens, des actions de contre-terrorisme ou de riposte ;</w:t>
      </w:r>
    </w:p>
    <w:p w:rsidR="00DA259E" w:rsidRPr="00CA0FBA" w:rsidRDefault="00DA259E" w:rsidP="00A915A0">
      <w:pPr>
        <w:jc w:val="both"/>
        <w:rPr>
          <w:i/>
          <w:sz w:val="22"/>
          <w:szCs w:val="22"/>
          <w:lang w:val="fr-FR"/>
        </w:rPr>
      </w:pPr>
      <w:r w:rsidRPr="00CA0FBA">
        <w:rPr>
          <w:i/>
          <w:sz w:val="22"/>
          <w:szCs w:val="22"/>
          <w:lang w:val="fr-FR"/>
        </w:rPr>
        <w:t>- les opérations en coalition – dans le cadre de l’Union européenne, d’une alliance établie telle que l’OTAN, ou formée pour la circonstance – dont la France prendra l’initiative et la tête ou dans lesquelles elle exercera une influence prépondérante ;</w:t>
      </w:r>
    </w:p>
    <w:p w:rsidR="00DA259E" w:rsidRPr="00CA0FBA" w:rsidRDefault="00DA259E" w:rsidP="00A915A0">
      <w:pPr>
        <w:jc w:val="both"/>
        <w:rPr>
          <w:sz w:val="22"/>
          <w:szCs w:val="22"/>
          <w:lang w:val="fr-FR"/>
        </w:rPr>
      </w:pPr>
      <w:r w:rsidRPr="00CA0FBA">
        <w:rPr>
          <w:i/>
          <w:sz w:val="22"/>
          <w:szCs w:val="22"/>
          <w:lang w:val="fr-FR"/>
        </w:rPr>
        <w:t>- les opérations en coalition dans lesquelles la France apportera sa contribution, mais dont le commandement sera assuré par une nation alliée, le plus souvent les États-Unis</w:t>
      </w:r>
      <w:r w:rsidRPr="00CA0FBA">
        <w:rPr>
          <w:sz w:val="22"/>
          <w:szCs w:val="22"/>
          <w:lang w:val="fr-FR"/>
        </w:rPr>
        <w:t>. (p. 83)</w:t>
      </w:r>
    </w:p>
    <w:p w:rsidR="00DA259E" w:rsidRPr="00CA0FBA" w:rsidRDefault="00DA259E" w:rsidP="00DA259E">
      <w:pPr>
        <w:rPr>
          <w:sz w:val="22"/>
          <w:szCs w:val="22"/>
          <w:lang w:val="fr-FR"/>
        </w:rPr>
      </w:pPr>
    </w:p>
    <w:p w:rsidR="00DA259E" w:rsidRPr="00CA0FBA" w:rsidRDefault="00DA259E" w:rsidP="00A915A0">
      <w:pPr>
        <w:jc w:val="both"/>
        <w:rPr>
          <w:sz w:val="22"/>
          <w:szCs w:val="22"/>
          <w:lang w:val="fr-FR"/>
        </w:rPr>
      </w:pPr>
      <w:r w:rsidRPr="00CA0FBA">
        <w:rPr>
          <w:sz w:val="22"/>
          <w:szCs w:val="22"/>
          <w:lang w:val="fr-FR"/>
        </w:rPr>
        <w:t>L’insistance tourne autour du principe de l’autonomie stratégique vu comme fondement de la capacité française en matière d’intervention extérieure. Il est question de développer des capacités dites critiques lui permettant l’initiative et l’action autonome, mais aussi la capacité à entraîner avec elle ses alliés et partenaires. Reste que le Livre blanc 2013 précise que « la plupart des opérations continueront cependant à être conduites en coalition ». Mais même dans le cas où la France ne serait pas nation-cadre, elle veut disposer des capacités « lui permettant de conserver en toutes circonstances sa liberté de décision et d’action et d’exercer une influence sur la conduite générale des opérations » (p. 83).</w:t>
      </w:r>
    </w:p>
    <w:p w:rsidR="00DA259E" w:rsidRPr="00CA0FBA" w:rsidRDefault="00DA259E" w:rsidP="00A915A0">
      <w:pPr>
        <w:jc w:val="both"/>
        <w:rPr>
          <w:sz w:val="22"/>
          <w:szCs w:val="22"/>
          <w:lang w:val="fr-FR"/>
        </w:rPr>
      </w:pPr>
    </w:p>
    <w:p w:rsidR="00DA259E" w:rsidRPr="00CA0FBA" w:rsidRDefault="00DA259E" w:rsidP="00A915A0">
      <w:pPr>
        <w:jc w:val="both"/>
        <w:rPr>
          <w:sz w:val="22"/>
          <w:szCs w:val="22"/>
          <w:lang w:val="fr-FR"/>
        </w:rPr>
      </w:pPr>
      <w:r w:rsidRPr="00CA0FBA">
        <w:rPr>
          <w:sz w:val="22"/>
          <w:szCs w:val="22"/>
          <w:lang w:val="fr-FR"/>
        </w:rPr>
        <w:t>Dans le chapitre 7 sur « Les moyens de la stratégie », on insiste à nouveau sur l’autonomie stratégique qui doit permettre à la France de prendre l’initiative d’opérations qu’elle estimerait nécessaires pour protéger ses intérêts de sécurité et, le cas échéant, fédérer l’action de ses partenaires, notamment au sein de l’Union européenne. Les intérêts vitaux français doivent être préservés à partir de la maîtrise de capacités critiques. Lesdites capacités doivent faciliter la prise d’initiative mais aussi peser dans une coalition afin de conserver l’indépendance stratégique. Et de citer les frappes précises dans la profondeur, la capacité autonome « à entrer en premier »</w:t>
      </w:r>
      <w:r w:rsidRPr="00CA0FBA">
        <w:rPr>
          <w:rStyle w:val="Appelnotedebasdep"/>
          <w:sz w:val="22"/>
          <w:szCs w:val="22"/>
        </w:rPr>
        <w:footnoteReference w:id="56"/>
      </w:r>
      <w:r w:rsidRPr="00CA0FBA">
        <w:rPr>
          <w:sz w:val="22"/>
          <w:szCs w:val="22"/>
          <w:lang w:val="fr-FR"/>
        </w:rPr>
        <w:t>, la capacité de commandement en tant que nation-cadre « pour une opération interalliée de moyenne ampleur ou un rôle d’influence dans une action multinationale ». De toute évidence, le message premier tourne autour du maintien de la souveraineté décisionnelle française avec cette volonté de préserver un certain ensemble capacitaire stratégique permettant de peser sur les partenaires, sinon de les conduire, dans son rôle d’une puissance moyenne. Cet ensemble doit être également de haut niveau afin de répondre aux menaces d’emploi de la force visant le territoire national mais aussi au cas où un pays membre de l’Union européenne ou de l’OTAN ferait l’objet d’une agression étatique directe (p. 89). À cet égard, il est question dans le « contrat opérationnel des armées » (pp. 90-93) d’une capacité des forces françaises à être engagées aussi dans une opération de coercition majeure (sous préavis de 6 mois), à mener en coalition</w:t>
      </w:r>
      <w:r w:rsidRPr="00CA0FBA">
        <w:rPr>
          <w:rStyle w:val="Appelnotedebasdep"/>
          <w:sz w:val="22"/>
          <w:szCs w:val="22"/>
        </w:rPr>
        <w:footnoteReference w:id="57"/>
      </w:r>
      <w:r w:rsidRPr="00CA0FBA">
        <w:rPr>
          <w:sz w:val="22"/>
          <w:szCs w:val="22"/>
          <w:lang w:val="fr-FR"/>
        </w:rPr>
        <w:t xml:space="preserve">, sur </w:t>
      </w:r>
      <w:r w:rsidRPr="00CA0FBA">
        <w:rPr>
          <w:sz w:val="22"/>
          <w:szCs w:val="22"/>
          <w:lang w:val="fr-FR"/>
        </w:rPr>
        <w:lastRenderedPageBreak/>
        <w:t>un théâtre d’engagement unique, une opération de combat de haute intensité, où la France pourra assumer tout ou partie du commandement de l’opération.</w:t>
      </w:r>
    </w:p>
    <w:p w:rsidR="00DA259E" w:rsidRPr="00CA0FBA" w:rsidRDefault="00DA259E" w:rsidP="00A915A0">
      <w:pPr>
        <w:jc w:val="both"/>
        <w:rPr>
          <w:sz w:val="22"/>
          <w:szCs w:val="22"/>
          <w:lang w:val="fr-FR"/>
        </w:rPr>
      </w:pPr>
    </w:p>
    <w:p w:rsidR="00DA259E" w:rsidRPr="00CA0FBA" w:rsidRDefault="00DA259E" w:rsidP="00A915A0">
      <w:pPr>
        <w:jc w:val="both"/>
        <w:rPr>
          <w:sz w:val="22"/>
          <w:szCs w:val="24"/>
          <w:lang w:val="fr-FR"/>
        </w:rPr>
      </w:pPr>
      <w:r w:rsidRPr="00CA0FBA">
        <w:rPr>
          <w:sz w:val="22"/>
          <w:szCs w:val="22"/>
          <w:lang w:val="fr-FR"/>
        </w:rPr>
        <w:t>La solidarité multinationale doit s’exprimer également autour du principe de mutualisation, sans que cela n’altère l’autonomie stratégique et la liberté d’action nationale. Il est alors rappelé les développements particulièrement importants au niveau de l’Europe de la défense conduisent la France à rechercher rapidement auprès de ses</w:t>
      </w:r>
      <w:r w:rsidRPr="00A915A0">
        <w:rPr>
          <w:rFonts w:asciiTheme="minorHAnsi" w:hAnsiTheme="minorHAnsi" w:cstheme="minorHAnsi"/>
          <w:szCs w:val="24"/>
          <w:lang w:val="fr-FR"/>
        </w:rPr>
        <w:t xml:space="preserve"> </w:t>
      </w:r>
      <w:r w:rsidRPr="00CA0FBA">
        <w:rPr>
          <w:sz w:val="22"/>
          <w:szCs w:val="24"/>
          <w:lang w:val="fr-FR"/>
        </w:rPr>
        <w:t>« partenaires européens une mise en commun des capacités indispensables à l’action » (p. 90). Cette mutualisation</w:t>
      </w:r>
      <w:r w:rsidRPr="00CA0FBA">
        <w:rPr>
          <w:rStyle w:val="Appelnotedebasdep"/>
          <w:sz w:val="22"/>
        </w:rPr>
        <w:footnoteReference w:id="58"/>
      </w:r>
      <w:r w:rsidRPr="00CA0FBA">
        <w:rPr>
          <w:sz w:val="22"/>
          <w:szCs w:val="24"/>
          <w:lang w:val="fr-FR"/>
        </w:rPr>
        <w:t xml:space="preserve"> est donc inscrite prioritairement dans le cadre intra-européen mais elle continue à rester conditionnée au maintien de la souveraineté hexagonale. Le modèle d’armée imaginée à l’horizon 2025 tournera autour de capacités de commandement et de contrôle permettant « aussi bien de planifier et de conduire des opérations autonomes ou en tant que nation-cadre d’une opération multinationale, que de contribuer au plus haut niveau à des opérations multinationales ». Dans ce cadre, les forces terrestres, aériennes et maritimes se doivent d’être intégrables sans difficulté dans les dispositifs multinationaux.</w:t>
      </w:r>
    </w:p>
    <w:p w:rsidR="00DA259E" w:rsidRPr="00CA0FBA" w:rsidRDefault="00DA259E" w:rsidP="00DA259E">
      <w:pPr>
        <w:rPr>
          <w:sz w:val="22"/>
          <w:szCs w:val="24"/>
          <w:lang w:val="fr-FR"/>
        </w:rPr>
      </w:pPr>
    </w:p>
    <w:p w:rsidR="00DA259E" w:rsidRPr="00CA0FBA" w:rsidRDefault="00DA259E" w:rsidP="00A915A0">
      <w:pPr>
        <w:jc w:val="both"/>
        <w:rPr>
          <w:sz w:val="22"/>
          <w:szCs w:val="24"/>
          <w:lang w:val="fr-FR"/>
        </w:rPr>
      </w:pPr>
      <w:r w:rsidRPr="00CA0FBA">
        <w:rPr>
          <w:sz w:val="22"/>
          <w:szCs w:val="24"/>
          <w:lang w:val="fr-FR"/>
        </w:rPr>
        <w:t>Le Livre blanc 2013 aborde en plusieurs paragraphes toute l’importance qu’il accorde à l’approche globale européenne :</w:t>
      </w:r>
    </w:p>
    <w:p w:rsidR="00DA259E" w:rsidRDefault="00DA259E" w:rsidP="00DA259E">
      <w:pPr>
        <w:rPr>
          <w:szCs w:val="24"/>
          <w:lang w:val="fr-FR"/>
        </w:rPr>
      </w:pPr>
    </w:p>
    <w:p w:rsidR="00AE52EA" w:rsidRDefault="00603254" w:rsidP="00A915A0">
      <w:pPr>
        <w:jc w:val="both"/>
        <w:rPr>
          <w:sz w:val="22"/>
          <w:szCs w:val="24"/>
          <w:lang w:val="fr-FR"/>
        </w:rPr>
      </w:pPr>
      <w:r w:rsidRPr="00603254">
        <w:rPr>
          <w:noProof/>
          <w:sz w:val="22"/>
          <w:szCs w:val="24"/>
        </w:rPr>
        <w:pict>
          <v:shape id="_x0000_s1035" type="#_x0000_t202" style="position:absolute;left:0;text-align:left;margin-left:0;margin-top:0;width:462.75pt;height:400.5pt;z-index:2518343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">
            <v:textbox>
              <w:txbxContent>
                <w:p w:rsidR="00993551" w:rsidRDefault="00993551" w:rsidP="00AE52EA">
                  <w:pPr>
                    <w:ind w:left="112"/>
                    <w:jc w:val="both"/>
                    <w:rPr>
                      <w:sz w:val="22"/>
                      <w:lang w:val="fr-FR"/>
                    </w:rPr>
                  </w:pPr>
                </w:p>
                <w:p w:rsidR="00AE52EA" w:rsidRPr="00CA0FBA" w:rsidRDefault="00AE52EA" w:rsidP="00AE52EA">
                  <w:pPr>
                    <w:ind w:left="112"/>
                    <w:jc w:val="both"/>
                    <w:rPr>
                      <w:sz w:val="22"/>
                      <w:lang w:val="fr-FR"/>
                    </w:rPr>
                  </w:pPr>
                  <w:r w:rsidRPr="00CA0FBA">
                    <w:rPr>
                      <w:sz w:val="22"/>
                      <w:lang w:val="fr-FR"/>
                    </w:rPr>
                    <w:t>« L’Union européenne dispose de la légitimité politique, des institutions et des moyens lui permettant d’intervenir sur tout le spectre des crises. Le Traité de Lisbonne, en établissant le Service européen d’action extérieure (SEAE) sous l’autorité directe du vice-président de la Commission / Haut représentant de l’Union pour la politique étrangère et de sécurité, a doté l’Union des structures et des ressources lui permettant d’exercer ses responsabilités sur la scène internationale. L’Union est ainsi devenue l’une des seules organisations internationales disposant de tous les leviers qui doivent lui permettre de peser efficacement sur les foyers potentiels ou avérés de crise.</w:t>
                  </w:r>
                </w:p>
                <w:p w:rsidR="00AE52EA" w:rsidRPr="00CA0FBA" w:rsidRDefault="00AE52EA" w:rsidP="00AE52EA">
                  <w:pPr>
                    <w:ind w:left="112"/>
                    <w:jc w:val="both"/>
                    <w:rPr>
                      <w:sz w:val="22"/>
                      <w:lang w:val="fr-FR"/>
                    </w:rPr>
                  </w:pPr>
                  <w:r w:rsidRPr="00CA0FBA">
                    <w:rPr>
                      <w:sz w:val="22"/>
                      <w:lang w:val="fr-FR"/>
                    </w:rPr>
                    <w:t>Il convient d’œuvrer à une meilleure coordination des acteurs institutionnels, des politiques intergouvernementales et communautaires et des instruments de gestion de crises, que ceux-ci soient civils ou militaires. En particulier, la coordination doit être simplifiée et renforcée entre le SEAE et l’ensemble des unités restant rattachées à la Commission, notamment celles qui s’occupent des questions de développement, d’aide humanitaire, de protection civile et de santé publique. De même, le SEAE doit pouvoir disposer de liens directs avec les agences relevant de la PSDC, notamment avec l’Agence européenne de défense et le Centre satellitaire de l’Union européenne. Il est également essentiel d’améliorer l’architecture du financement de la gestion des crises par l’Union européenne pour qu’elle réponde à ces exigences de décloisonnement et d’efficacité opérationnelle.</w:t>
                  </w:r>
                </w:p>
                <w:p w:rsidR="00AE52EA" w:rsidRPr="00CA0FBA" w:rsidRDefault="00AE52EA" w:rsidP="00AE52EA">
                  <w:pPr>
                    <w:ind w:left="112"/>
                    <w:jc w:val="both"/>
                    <w:rPr>
                      <w:sz w:val="22"/>
                      <w:lang w:val="fr-FR"/>
                    </w:rPr>
                  </w:pPr>
                  <w:r w:rsidRPr="00CA0FBA">
                    <w:rPr>
                      <w:sz w:val="22"/>
                      <w:lang w:val="fr-FR"/>
                    </w:rPr>
                    <w:t>Afin de renforcer le volet opérationnel de la politique de sécurité et de défense commune, il est souhaitable de parvenir à un meilleur équilibre entre les volets civils et militaires des capacités de planification stratégique et de conduite des opérations, et au minimum à leur co-localisation. De manière générale, le développement parallèle des capacités civiles et militaires de gestion de crise est le gage d’une approche globale, qui devrait se traduire sur les théâtres de crise par un renforcement des pouvoirs du représentant spécial de l’Union européenne. Le Comité militaire, soutenu par les travaux de l’état-major de l’Union européenne, doit rester une force de proposition sur la contribution militaire à l’approche globale, aussi bien dans les opérations que dans l’approche capacitaire.</w:t>
                  </w:r>
                </w:p>
                <w:p w:rsidR="00AE52EA" w:rsidRPr="00D96B0C" w:rsidRDefault="00AE52EA" w:rsidP="00AE52EA">
                  <w:r w:rsidRPr="00CA0FBA">
                    <w:rPr>
                      <w:sz w:val="22"/>
                      <w:lang w:val="fr-FR"/>
                    </w:rPr>
                    <w:t>Dans l’attente d’une vision stratégique partagée et d’un consensus en matière de politique étrangère, l’Europe de la défense se construira à travers ses opérations dans lesquelles ses capacités civiles et militaires se complèteront et se renforceront mutuellement. » (pp. 100-101)</w:t>
                  </w:r>
                </w:p>
                <w:p w:rsidR="00AE52EA" w:rsidRDefault="00AE52EA"/>
              </w:txbxContent>
            </v:textbox>
          </v:shape>
        </w:pict>
      </w: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AE52EA" w:rsidRDefault="00AE52EA" w:rsidP="00A915A0">
      <w:pPr>
        <w:jc w:val="both"/>
        <w:rPr>
          <w:sz w:val="22"/>
          <w:szCs w:val="24"/>
          <w:lang w:val="fr-FR"/>
        </w:rPr>
      </w:pPr>
    </w:p>
    <w:p w:rsidR="00993551" w:rsidRDefault="00993551" w:rsidP="00993551">
      <w:pPr>
        <w:jc w:val="both"/>
        <w:rPr>
          <w:sz w:val="22"/>
          <w:szCs w:val="24"/>
          <w:lang w:val="fr-FR"/>
        </w:rPr>
      </w:pPr>
    </w:p>
    <w:p w:rsidR="00993551" w:rsidRDefault="00993551" w:rsidP="00993551">
      <w:pPr>
        <w:jc w:val="both"/>
        <w:rPr>
          <w:sz w:val="22"/>
          <w:szCs w:val="24"/>
          <w:lang w:val="fr-FR"/>
        </w:rPr>
      </w:pPr>
    </w:p>
    <w:p w:rsidR="00993551" w:rsidRDefault="00993551" w:rsidP="00993551">
      <w:pPr>
        <w:jc w:val="both"/>
        <w:rPr>
          <w:sz w:val="22"/>
          <w:szCs w:val="24"/>
          <w:lang w:val="fr-FR"/>
        </w:rPr>
      </w:pPr>
    </w:p>
    <w:p w:rsidR="00993551" w:rsidRDefault="00993551" w:rsidP="00993551">
      <w:pPr>
        <w:jc w:val="both"/>
        <w:rPr>
          <w:sz w:val="22"/>
          <w:szCs w:val="24"/>
          <w:lang w:val="fr-FR"/>
        </w:rPr>
      </w:pPr>
    </w:p>
    <w:p w:rsidR="00993551" w:rsidRPr="00CA0FBA" w:rsidRDefault="00993551" w:rsidP="00993551">
      <w:pPr>
        <w:jc w:val="both"/>
        <w:rPr>
          <w:sz w:val="22"/>
          <w:szCs w:val="24"/>
          <w:lang w:val="fr-FR"/>
        </w:rPr>
      </w:pPr>
      <w:r>
        <w:rPr>
          <w:sz w:val="22"/>
          <w:szCs w:val="24"/>
          <w:lang w:val="fr-FR"/>
        </w:rPr>
        <w:lastRenderedPageBreak/>
        <w:t>Ainsi, l’</w:t>
      </w:r>
      <w:r w:rsidRPr="00CA0FBA">
        <w:rPr>
          <w:sz w:val="22"/>
          <w:szCs w:val="24"/>
          <w:lang w:val="fr-FR"/>
        </w:rPr>
        <w:t>approche globale dans la gestion des crises extérieures, autour de la démarche interministérielle, est mise en avant mais elle se veut inscrite dans le cadre des efforts du pays « visant à améliorer les capacités de gestion de crise de l’Union européenne » (p. 100). Pour Paris, la mise en œuvre effective de l’approche globale « permettra de dépasser l’opposition qui sépare parfois les États membres dans les priorités qu’ils accordent à la gestion civile ou à la gestion militaire des crises ». Cette priorité doit renforcer la PSDC.</w:t>
      </w:r>
    </w:p>
    <w:p w:rsidR="00AE52EA" w:rsidRDefault="00AE52EA" w:rsidP="00A915A0">
      <w:pPr>
        <w:jc w:val="both"/>
        <w:rPr>
          <w:sz w:val="22"/>
          <w:szCs w:val="24"/>
          <w:lang w:val="fr-FR"/>
        </w:rPr>
      </w:pPr>
    </w:p>
    <w:p w:rsidR="00DA259E" w:rsidRPr="00CA0FBA" w:rsidRDefault="00DA259E" w:rsidP="00A915A0">
      <w:pPr>
        <w:jc w:val="both"/>
        <w:rPr>
          <w:sz w:val="22"/>
          <w:szCs w:val="24"/>
          <w:lang w:val="fr-FR"/>
        </w:rPr>
      </w:pPr>
      <w:r w:rsidRPr="00CA0FBA">
        <w:rPr>
          <w:sz w:val="22"/>
          <w:szCs w:val="24"/>
          <w:lang w:val="fr-FR"/>
        </w:rPr>
        <w:t>À propos de la prévention, il est question de la protection du territoire et de ses approches avec, entre autres, le soutien français au développement par l’Union européenne d’une surveillance maritime intégrée</w:t>
      </w:r>
      <w:r w:rsidRPr="00CA0FBA">
        <w:rPr>
          <w:rStyle w:val="Appelnotedebasdep"/>
          <w:sz w:val="22"/>
        </w:rPr>
        <w:footnoteReference w:id="59"/>
      </w:r>
      <w:r w:rsidRPr="00CA0FBA">
        <w:rPr>
          <w:sz w:val="22"/>
          <w:szCs w:val="24"/>
          <w:lang w:val="fr-FR"/>
        </w:rPr>
        <w:t xml:space="preserve">, les coopérations autour de la lutte contre le terrorisme, l’intérêt des accords frontaliers de sûreté aérienne et l’arrivée du nouveau système de commandement et de conduite </w:t>
      </w:r>
      <w:r w:rsidRPr="00CA0FBA">
        <w:rPr>
          <w:i/>
          <w:sz w:val="22"/>
          <w:szCs w:val="24"/>
          <w:lang w:val="fr-FR"/>
        </w:rPr>
        <w:t>Air Command and Control System</w:t>
      </w:r>
      <w:r w:rsidRPr="00CA0FBA">
        <w:rPr>
          <w:sz w:val="22"/>
          <w:szCs w:val="24"/>
          <w:lang w:val="fr-FR"/>
        </w:rPr>
        <w:t xml:space="preserve"> de l’OTAN, tout en indiquant que la France s’assurera que le projet de dispositif « Ciel unique européen » préserve les espaces d’entraînement de ses propres avions. De même, la France place en avant la lutte contre la cybermenace dont elle estime que toute politique ambitieuse doit passer par le développement de relations étroites « entre partenaires internationaux de confiance » au premier rang desquels elle place le Royaume-Uni et l’Allemagne. Au niveau européen, elle soutient la mise en place d’une politique de renforcement de la protection contre le risque cyber des infrastructures vitales et des réseaux de communications électroniques. </w:t>
      </w:r>
    </w:p>
    <w:p w:rsidR="00DA259E" w:rsidRPr="00CA0FBA" w:rsidRDefault="00DA259E" w:rsidP="00A915A0">
      <w:pPr>
        <w:jc w:val="both"/>
        <w:rPr>
          <w:sz w:val="22"/>
          <w:szCs w:val="24"/>
          <w:lang w:val="fr-FR"/>
        </w:rPr>
      </w:pPr>
    </w:p>
    <w:p w:rsidR="00DA259E" w:rsidRPr="00CA0FBA" w:rsidRDefault="00DA259E" w:rsidP="006554CC">
      <w:pPr>
        <w:jc w:val="both"/>
        <w:rPr>
          <w:sz w:val="22"/>
          <w:szCs w:val="24"/>
          <w:lang w:val="fr-FR"/>
        </w:rPr>
      </w:pPr>
      <w:r w:rsidRPr="00CA0FBA">
        <w:rPr>
          <w:sz w:val="22"/>
          <w:szCs w:val="24"/>
          <w:lang w:val="fr-FR"/>
        </w:rPr>
        <w:t xml:space="preserve">Quant à la dimension européenne de la sécurité intérieure, elle concerne tant le soutien au système de navigation par satellite </w:t>
      </w:r>
      <w:r w:rsidRPr="00CA0FBA">
        <w:rPr>
          <w:i/>
          <w:sz w:val="22"/>
          <w:szCs w:val="24"/>
          <w:lang w:val="fr-FR"/>
        </w:rPr>
        <w:t>Galileo</w:t>
      </w:r>
      <w:r w:rsidRPr="00CA0FBA">
        <w:rPr>
          <w:sz w:val="22"/>
          <w:szCs w:val="24"/>
          <w:lang w:val="fr-FR"/>
        </w:rPr>
        <w:t xml:space="preserve"> que des opportunités autour de la révision en 2014 du programme de Stockholm pour promouvoir un projet européen de sécurité. D’autres thématiques connexes sont également citées en soutien : mise en place du défi « sécurité » d’Horizon 2020, travaux relatifs à la clause de solidarité</w:t>
      </w:r>
      <w:r w:rsidRPr="00CA0FBA">
        <w:rPr>
          <w:rStyle w:val="Appelnotedebasdep"/>
          <w:sz w:val="22"/>
        </w:rPr>
        <w:footnoteReference w:id="60"/>
      </w:r>
      <w:r w:rsidRPr="00CA0FBA">
        <w:rPr>
          <w:sz w:val="22"/>
          <w:szCs w:val="24"/>
          <w:lang w:val="fr-FR"/>
        </w:rPr>
        <w:t>, refonte des arrangements de coordination en cas de crise. Pour la France, il faut renforcer la cohérence des différentes politiques sectorielles actuellement mises en œuvre par l’Union européenne dans le domaine de la protection</w:t>
      </w:r>
      <w:r w:rsidRPr="00CA0FBA">
        <w:rPr>
          <w:rStyle w:val="Appelnotedebasdep"/>
          <w:sz w:val="22"/>
        </w:rPr>
        <w:footnoteReference w:id="61"/>
      </w:r>
      <w:r w:rsidRPr="00CA0FBA">
        <w:rPr>
          <w:sz w:val="22"/>
          <w:szCs w:val="24"/>
          <w:lang w:val="fr-FR"/>
        </w:rPr>
        <w:t xml:space="preserve"> et des technologies de sécurité. Le Livre blanc estime que l’application de ces différentes mesures peut constituer « une étape nécessaire sur la voie permettant de faire émerger une conscience commune et partagée des intérêts supérieurs de l’Europe ».</w:t>
      </w:r>
    </w:p>
    <w:p w:rsidR="00DA259E" w:rsidRPr="00CA0FBA" w:rsidRDefault="00DA259E" w:rsidP="006554CC">
      <w:pPr>
        <w:jc w:val="both"/>
        <w:rPr>
          <w:sz w:val="22"/>
          <w:szCs w:val="24"/>
          <w:lang w:val="fr-FR"/>
        </w:rPr>
      </w:pPr>
    </w:p>
    <w:p w:rsidR="00DA259E" w:rsidRPr="00CA0FBA" w:rsidRDefault="00DA259E" w:rsidP="006554CC">
      <w:pPr>
        <w:jc w:val="both"/>
        <w:rPr>
          <w:sz w:val="22"/>
          <w:szCs w:val="24"/>
          <w:lang w:val="fr-FR"/>
        </w:rPr>
      </w:pPr>
      <w:r w:rsidRPr="00CA0FBA">
        <w:rPr>
          <w:sz w:val="22"/>
          <w:szCs w:val="24"/>
          <w:lang w:val="fr-FR"/>
        </w:rPr>
        <w:t>Quant au sous-chapitre sur l’industrie de défense et de sécurité, il contient beaucoup de références à l’Union européenne, que ce soit en termes d’autonomie stratégique, de contribution économique, d’approche renouvelée de la coopération, de rationalisation des procédures d’exportation entre États membres et de concertation sur les exportations hors UE, de prise en compte des initiatives de la Commission sur l’industrie de défense européenne et son rôle stratégique, de la recherche d’une harmonisation des spécifications opérationnelles et des calendriers de renouvellement des matériels entre capitales, de l’intérêt de la mutualisation et du partage, de la sécurisation des approvisionnements de la France et de l’Europe en matière des matériaux stratégiques, politique commune de la recherche, etc.</w:t>
      </w:r>
    </w:p>
    <w:p w:rsidR="00DA259E" w:rsidRPr="00CA0FBA" w:rsidRDefault="00DA259E" w:rsidP="006554CC">
      <w:pPr>
        <w:jc w:val="both"/>
        <w:rPr>
          <w:sz w:val="22"/>
          <w:szCs w:val="24"/>
          <w:lang w:val="fr-FR"/>
        </w:rPr>
      </w:pPr>
    </w:p>
    <w:p w:rsidR="00DA259E" w:rsidRPr="00CA0FBA" w:rsidRDefault="00DA259E" w:rsidP="006554CC">
      <w:pPr>
        <w:jc w:val="both"/>
        <w:rPr>
          <w:sz w:val="22"/>
          <w:szCs w:val="24"/>
          <w:lang w:val="fr-FR"/>
        </w:rPr>
      </w:pPr>
      <w:r w:rsidRPr="00CA0FBA">
        <w:rPr>
          <w:sz w:val="22"/>
          <w:szCs w:val="24"/>
          <w:lang w:val="fr-FR"/>
        </w:rPr>
        <w:t>Les éléments majeurs mis en évidence sont que :</w:t>
      </w:r>
    </w:p>
    <w:p w:rsidR="00DA259E" w:rsidRPr="00CA0FBA" w:rsidRDefault="00DA259E" w:rsidP="006554CC">
      <w:pPr>
        <w:jc w:val="both"/>
        <w:rPr>
          <w:sz w:val="22"/>
          <w:szCs w:val="24"/>
          <w:lang w:val="fr-FR"/>
        </w:rPr>
      </w:pPr>
    </w:p>
    <w:p w:rsidR="00DA259E" w:rsidRPr="00CA0FBA" w:rsidRDefault="00DA259E" w:rsidP="006554CC">
      <w:pPr>
        <w:jc w:val="both"/>
        <w:rPr>
          <w:sz w:val="22"/>
          <w:szCs w:val="24"/>
          <w:lang w:val="fr-FR"/>
        </w:rPr>
      </w:pPr>
      <w:r w:rsidRPr="00CA0FBA">
        <w:rPr>
          <w:sz w:val="22"/>
          <w:szCs w:val="24"/>
          <w:lang w:val="fr-FR"/>
        </w:rPr>
        <w:lastRenderedPageBreak/>
        <w:t>- les réductions budgétaires en France et dans le reste de l’Europe auront un impact majeur sur l’industrie de défense française, d’autant qu’il y a « surcapacité manifeste de l’industrie de défense européenne par rapport à la demande prévisible sur le marché européen » et exacerbation de la concurrence internationale ;</w:t>
      </w:r>
    </w:p>
    <w:p w:rsidR="00DA259E" w:rsidRPr="00CA0FBA" w:rsidRDefault="00DA259E" w:rsidP="006554CC">
      <w:pPr>
        <w:jc w:val="both"/>
        <w:rPr>
          <w:sz w:val="22"/>
          <w:szCs w:val="24"/>
          <w:lang w:val="fr-FR"/>
        </w:rPr>
      </w:pPr>
      <w:r w:rsidRPr="00CA0FBA">
        <w:rPr>
          <w:sz w:val="22"/>
          <w:szCs w:val="24"/>
          <w:lang w:val="fr-FR"/>
        </w:rPr>
        <w:t>- l’intégration croissante des intérêts européens et de l’industrie de défense doivent être prise en compte ;</w:t>
      </w:r>
    </w:p>
    <w:p w:rsidR="00DA259E" w:rsidRPr="00CA0FBA" w:rsidRDefault="00DA259E" w:rsidP="006554CC">
      <w:pPr>
        <w:jc w:val="both"/>
        <w:rPr>
          <w:sz w:val="22"/>
          <w:szCs w:val="22"/>
          <w:lang w:val="fr-FR"/>
        </w:rPr>
      </w:pPr>
      <w:r w:rsidRPr="00CA0FBA">
        <w:rPr>
          <w:sz w:val="22"/>
          <w:szCs w:val="24"/>
          <w:lang w:val="fr-FR"/>
        </w:rPr>
        <w:t>- tout en évitant les écueils que sont l’addition de spécificités multiples, la dérive des coûts, les duplications et les capacités dispersées en matière de coopération dans le domaine des programmes d’armement ; il s’agira d’étendre à d’autres partenaires européens</w:t>
      </w:r>
      <w:r w:rsidRPr="00CA0FBA">
        <w:rPr>
          <w:rStyle w:val="Appelnotedebasdep"/>
          <w:sz w:val="22"/>
        </w:rPr>
        <w:footnoteReference w:id="62"/>
      </w:r>
      <w:r w:rsidRPr="00CA0FBA">
        <w:rPr>
          <w:sz w:val="22"/>
          <w:szCs w:val="24"/>
          <w:lang w:val="fr-FR"/>
        </w:rPr>
        <w:t xml:space="preserve"> la mise en place de cadres communs pour le soutien des </w:t>
      </w:r>
      <w:r w:rsidRPr="00CA0FBA">
        <w:rPr>
          <w:sz w:val="22"/>
          <w:szCs w:val="22"/>
          <w:lang w:val="fr-FR"/>
        </w:rPr>
        <w:t>capacités technologiques et industrielles partagées. Il s’agit ici d’agir uniquement selon le principe d’efficacité industrielle et de performance économique ; l’objectif étant de constituer une base industrielle de défense européenne économiquement viable, avec pôles d’excellence, réalité des compétences et investissements réalisés ;</w:t>
      </w:r>
    </w:p>
    <w:p w:rsidR="00DA259E" w:rsidRPr="00CA0FBA" w:rsidRDefault="00DA259E" w:rsidP="006554CC">
      <w:pPr>
        <w:jc w:val="both"/>
        <w:rPr>
          <w:sz w:val="22"/>
          <w:szCs w:val="22"/>
          <w:lang w:val="fr-FR"/>
        </w:rPr>
      </w:pPr>
      <w:r w:rsidRPr="00CA0FBA">
        <w:rPr>
          <w:sz w:val="22"/>
          <w:szCs w:val="22"/>
          <w:lang w:val="fr-FR"/>
        </w:rPr>
        <w:t>- la France est disponible pour pousser l’impulsion politique autour de la mutualisation et du partage en symbiose avec les politiques industrielles, les spécifications opérationnelles et les calendriers de renouvellement des équipements</w:t>
      </w:r>
      <w:r w:rsidRPr="00CA0FBA">
        <w:rPr>
          <w:rStyle w:val="Appelnotedebasdep"/>
          <w:sz w:val="22"/>
          <w:szCs w:val="22"/>
        </w:rPr>
        <w:footnoteReference w:id="63"/>
      </w:r>
      <w:r w:rsidRPr="00CA0FBA">
        <w:rPr>
          <w:sz w:val="22"/>
          <w:szCs w:val="22"/>
          <w:lang w:val="fr-FR"/>
        </w:rPr>
        <w:t> ;</w:t>
      </w:r>
    </w:p>
    <w:p w:rsidR="00DA259E" w:rsidRPr="00CA0FBA" w:rsidRDefault="00DA259E" w:rsidP="006554CC">
      <w:pPr>
        <w:jc w:val="both"/>
        <w:rPr>
          <w:sz w:val="22"/>
          <w:szCs w:val="22"/>
          <w:lang w:val="fr-FR"/>
        </w:rPr>
      </w:pPr>
      <w:r w:rsidRPr="00CA0FBA">
        <w:rPr>
          <w:sz w:val="22"/>
          <w:szCs w:val="22"/>
          <w:lang w:val="fr-FR"/>
        </w:rPr>
        <w:t>- l’A</w:t>
      </w:r>
      <w:r w:rsidR="00826FFA">
        <w:rPr>
          <w:sz w:val="22"/>
          <w:szCs w:val="22"/>
          <w:lang w:val="fr-FR"/>
        </w:rPr>
        <w:t>ED et l’OCCAR</w:t>
      </w:r>
      <w:r w:rsidRPr="00CA0FBA">
        <w:rPr>
          <w:sz w:val="22"/>
          <w:szCs w:val="22"/>
          <w:lang w:val="fr-FR"/>
        </w:rPr>
        <w:t xml:space="preserve"> sont à exploiter dans toutes leurs potentialités ; le premier pouvant très en amont organiser les futures coopérations technologiques et industrielles entre pays européens. L’objectif français serait de mettre en place un dispositif entre l’AED et l’OCCAR afin de pouvoir acquérir en commun des équipements sur le modèle des agences de l’OTAN ;</w:t>
      </w:r>
    </w:p>
    <w:p w:rsidR="00DA259E" w:rsidRPr="00CA0FBA" w:rsidRDefault="00DA259E" w:rsidP="006554CC">
      <w:pPr>
        <w:jc w:val="both"/>
        <w:rPr>
          <w:sz w:val="22"/>
          <w:szCs w:val="22"/>
          <w:lang w:val="fr-FR"/>
        </w:rPr>
      </w:pPr>
      <w:r w:rsidRPr="00CA0FBA">
        <w:rPr>
          <w:sz w:val="22"/>
          <w:szCs w:val="22"/>
          <w:lang w:val="fr-FR"/>
        </w:rPr>
        <w:t>- la coopération en matière de programmes d’armement ne permettra pas de faire l’économie de restructurations industrielles à l’échelle européenne (p. 129).</w:t>
      </w:r>
    </w:p>
    <w:p w:rsidR="00DA259E" w:rsidRPr="00CA0FBA" w:rsidRDefault="00DA259E" w:rsidP="006554CC">
      <w:pPr>
        <w:jc w:val="both"/>
        <w:rPr>
          <w:sz w:val="22"/>
          <w:szCs w:val="22"/>
          <w:lang w:val="fr-FR"/>
        </w:rPr>
      </w:pPr>
      <w:r w:rsidRPr="00CA0FBA">
        <w:rPr>
          <w:sz w:val="22"/>
          <w:szCs w:val="22"/>
          <w:lang w:val="fr-FR"/>
        </w:rPr>
        <w:t xml:space="preserve"> </w:t>
      </w:r>
    </w:p>
    <w:p w:rsidR="00DA259E" w:rsidRPr="00CA0FBA" w:rsidRDefault="00DA259E" w:rsidP="006554CC">
      <w:pPr>
        <w:jc w:val="both"/>
        <w:rPr>
          <w:sz w:val="22"/>
          <w:szCs w:val="22"/>
          <w:lang w:val="fr-FR"/>
        </w:rPr>
      </w:pPr>
    </w:p>
    <w:p w:rsidR="00DA259E" w:rsidRPr="00CA0FBA" w:rsidRDefault="00DA259E" w:rsidP="006554CC">
      <w:pPr>
        <w:jc w:val="both"/>
        <w:rPr>
          <w:sz w:val="22"/>
          <w:szCs w:val="22"/>
          <w:lang w:val="fr-FR"/>
        </w:rPr>
      </w:pPr>
      <w:r w:rsidRPr="00CA0FBA">
        <w:rPr>
          <w:sz w:val="22"/>
          <w:szCs w:val="22"/>
          <w:lang w:val="fr-FR"/>
        </w:rPr>
        <w:t>Dans la « Conclusion récapitulative »</w:t>
      </w:r>
      <w:r w:rsidRPr="00CA0FBA">
        <w:rPr>
          <w:rStyle w:val="Appelnotedebasdep"/>
          <w:sz w:val="22"/>
          <w:szCs w:val="22"/>
        </w:rPr>
        <w:footnoteReference w:id="64"/>
      </w:r>
      <w:r w:rsidRPr="00CA0FBA">
        <w:rPr>
          <w:sz w:val="22"/>
          <w:szCs w:val="22"/>
          <w:lang w:val="fr-FR"/>
        </w:rPr>
        <w:t xml:space="preserve"> faisant 8 pages, la visibilité européenne et otanienne se retrouve à plusieurs endroits</w:t>
      </w:r>
      <w:r w:rsidRPr="00CA0FBA">
        <w:rPr>
          <w:rStyle w:val="Appelnotedebasdep"/>
          <w:sz w:val="22"/>
          <w:szCs w:val="22"/>
        </w:rPr>
        <w:footnoteReference w:id="65"/>
      </w:r>
      <w:r w:rsidRPr="00CA0FBA">
        <w:rPr>
          <w:sz w:val="22"/>
          <w:szCs w:val="22"/>
          <w:lang w:val="fr-FR"/>
        </w:rPr>
        <w:t> :</w:t>
      </w:r>
    </w:p>
    <w:p w:rsidR="00DA259E" w:rsidRPr="00CA0FBA" w:rsidRDefault="00DA259E" w:rsidP="006554CC">
      <w:pPr>
        <w:jc w:val="both"/>
        <w:rPr>
          <w:sz w:val="22"/>
          <w:szCs w:val="22"/>
          <w:lang w:val="fr-FR"/>
        </w:rPr>
      </w:pPr>
    </w:p>
    <w:p w:rsidR="00DA259E" w:rsidRPr="00CA0FBA" w:rsidRDefault="00DA259E" w:rsidP="006554CC">
      <w:pPr>
        <w:jc w:val="both"/>
        <w:rPr>
          <w:sz w:val="22"/>
          <w:szCs w:val="22"/>
          <w:lang w:val="fr-FR"/>
        </w:rPr>
      </w:pPr>
      <w:r w:rsidRPr="00CA0FBA">
        <w:rPr>
          <w:sz w:val="22"/>
          <w:szCs w:val="22"/>
          <w:lang w:val="fr-FR"/>
        </w:rPr>
        <w:t>« </w:t>
      </w:r>
      <w:r w:rsidRPr="00CA0FBA">
        <w:rPr>
          <w:b/>
          <w:sz w:val="22"/>
          <w:szCs w:val="22"/>
          <w:lang w:val="fr-FR"/>
        </w:rPr>
        <w:t>Notre stratégie de défense et de sécurité nationale ne se conçoit pas en dehors du cadre de l’Alliance Atlantique et de notre engagement dans l’Union européenne</w:t>
      </w:r>
      <w:r w:rsidR="00826FFA">
        <w:rPr>
          <w:rStyle w:val="Appelnotedebasdep"/>
          <w:b/>
          <w:sz w:val="22"/>
          <w:szCs w:val="22"/>
          <w:lang w:val="fr-FR"/>
        </w:rPr>
        <w:footnoteReference w:id="66"/>
      </w:r>
      <w:r w:rsidR="00826FFA">
        <w:rPr>
          <w:b/>
          <w:sz w:val="22"/>
          <w:szCs w:val="22"/>
          <w:lang w:val="fr-FR"/>
        </w:rPr>
        <w:t>.</w:t>
      </w:r>
      <w:r w:rsidRPr="00CA0FBA">
        <w:rPr>
          <w:sz w:val="22"/>
          <w:szCs w:val="22"/>
          <w:lang w:val="fr-FR"/>
        </w:rPr>
        <w:t xml:space="preserve"> Ces deux organisations complémentaires offrent une palette de réponses qui permettent à la France et à ses Alliés de faire face à un spectre très large de risques et de menaces. La France, qui a repris toute sa place dans le fonctionnement de l’OTAN, promeut une </w:t>
      </w:r>
      <w:r w:rsidRPr="00CA0FBA">
        <w:rPr>
          <w:sz w:val="22"/>
          <w:szCs w:val="22"/>
          <w:u w:val="single"/>
          <w:lang w:val="fr-FR"/>
        </w:rPr>
        <w:t>Alliance forte et efficace au service de ses intérêts et de ceux de l’Europe.</w:t>
      </w:r>
      <w:r w:rsidRPr="00CA0FBA">
        <w:rPr>
          <w:sz w:val="22"/>
          <w:szCs w:val="22"/>
          <w:lang w:val="fr-FR"/>
        </w:rPr>
        <w:t xml:space="preserve"> Elle estime parallèlement que le contexte actuel, dans lequel </w:t>
      </w:r>
      <w:r w:rsidRPr="00CA0FBA">
        <w:rPr>
          <w:sz w:val="22"/>
          <w:szCs w:val="22"/>
          <w:u w:val="single"/>
          <w:lang w:val="fr-FR"/>
        </w:rPr>
        <w:t>l’Europe est appelée à assumer une plus grande part de responsabilité pour sa sécurité</w:t>
      </w:r>
      <w:r w:rsidRPr="00CA0FBA">
        <w:rPr>
          <w:sz w:val="22"/>
          <w:szCs w:val="22"/>
          <w:lang w:val="fr-FR"/>
        </w:rPr>
        <w:t xml:space="preserve">, rend indispensable une relance pragmatique de la </w:t>
      </w:r>
      <w:r w:rsidRPr="00CA0FBA">
        <w:rPr>
          <w:sz w:val="22"/>
          <w:szCs w:val="22"/>
          <w:u w:val="single"/>
          <w:lang w:val="fr-FR"/>
        </w:rPr>
        <w:t>politique de sécurité et de défense européenne</w:t>
      </w:r>
      <w:r w:rsidRPr="00CA0FBA">
        <w:rPr>
          <w:sz w:val="22"/>
          <w:szCs w:val="22"/>
          <w:lang w:val="fr-FR"/>
        </w:rPr>
        <w:t xml:space="preserve">. En clarifiant le chemin que la France a décidé d’emprunter pour assurer sa sécurité, le Livre blanc vise à ouvrir avec les </w:t>
      </w:r>
      <w:r w:rsidRPr="00CA0FBA">
        <w:rPr>
          <w:sz w:val="22"/>
          <w:szCs w:val="22"/>
          <w:u w:val="single"/>
          <w:lang w:val="fr-FR"/>
        </w:rPr>
        <w:t>membres de l’Union</w:t>
      </w:r>
      <w:r w:rsidRPr="00CA0FBA">
        <w:rPr>
          <w:sz w:val="22"/>
          <w:szCs w:val="22"/>
          <w:lang w:val="fr-FR"/>
        </w:rPr>
        <w:t xml:space="preserve"> un dialogue approfondi appelant une nouvelle ambition, reposant sur des interdépendances organisées plutôt que subies. La France continuera à soutenir les </w:t>
      </w:r>
      <w:r w:rsidRPr="00CA0FBA">
        <w:rPr>
          <w:sz w:val="22"/>
          <w:szCs w:val="22"/>
          <w:u w:val="single"/>
          <w:lang w:val="fr-FR"/>
        </w:rPr>
        <w:t>initiatives européennes</w:t>
      </w:r>
      <w:r w:rsidRPr="00CA0FBA">
        <w:rPr>
          <w:sz w:val="22"/>
          <w:szCs w:val="22"/>
          <w:lang w:val="fr-FR"/>
        </w:rPr>
        <w:t xml:space="preserve"> en matière de partage et de </w:t>
      </w:r>
      <w:r w:rsidRPr="00CA0FBA">
        <w:rPr>
          <w:sz w:val="22"/>
          <w:szCs w:val="22"/>
          <w:u w:val="single"/>
          <w:lang w:val="fr-FR"/>
        </w:rPr>
        <w:t>mutualisation</w:t>
      </w:r>
      <w:r w:rsidRPr="00CA0FBA">
        <w:rPr>
          <w:sz w:val="22"/>
          <w:szCs w:val="22"/>
          <w:lang w:val="fr-FR"/>
        </w:rPr>
        <w:t xml:space="preserve"> de capacités militaires ».</w:t>
      </w:r>
    </w:p>
    <w:p w:rsidR="00DA259E" w:rsidRPr="00CA0FBA" w:rsidRDefault="00DA259E" w:rsidP="00DA259E">
      <w:pPr>
        <w:rPr>
          <w:sz w:val="22"/>
          <w:szCs w:val="22"/>
          <w:lang w:val="fr-FR"/>
        </w:rPr>
      </w:pPr>
    </w:p>
    <w:p w:rsidR="00DA259E" w:rsidRPr="00CA0FBA" w:rsidRDefault="00DA259E" w:rsidP="00DA259E">
      <w:pPr>
        <w:rPr>
          <w:sz w:val="22"/>
          <w:szCs w:val="22"/>
          <w:lang w:val="fr-FR"/>
        </w:rPr>
      </w:pPr>
      <w:r w:rsidRPr="00CA0FBA">
        <w:rPr>
          <w:sz w:val="22"/>
          <w:szCs w:val="22"/>
          <w:lang w:val="fr-FR"/>
        </w:rPr>
        <w:t>[…]</w:t>
      </w:r>
    </w:p>
    <w:p w:rsidR="00DA259E" w:rsidRPr="00CA0FBA" w:rsidRDefault="00DA259E" w:rsidP="00DA259E">
      <w:pPr>
        <w:rPr>
          <w:sz w:val="22"/>
          <w:szCs w:val="22"/>
          <w:lang w:val="fr-FR"/>
        </w:rPr>
      </w:pPr>
    </w:p>
    <w:p w:rsidR="00DA259E" w:rsidRPr="00CA0FBA" w:rsidRDefault="00826FFA" w:rsidP="00DA259E">
      <w:pPr>
        <w:pStyle w:val="Paragraphedeliste"/>
        <w:numPr>
          <w:ilvl w:val="0"/>
          <w:numId w:val="13"/>
        </w:numPr>
        <w:suppressAutoHyphens/>
        <w:spacing w:after="0"/>
        <w:contextualSpacing w:val="0"/>
        <w:rPr>
          <w:rFonts w:ascii="Times New Roman" w:hAnsi="Times New Roman"/>
          <w:sz w:val="22"/>
          <w:lang w:val="fr-FR"/>
        </w:rPr>
      </w:pPr>
      <w:r>
        <w:rPr>
          <w:rFonts w:ascii="Times New Roman" w:hAnsi="Times New Roman"/>
          <w:sz w:val="22"/>
          <w:lang w:val="fr-FR"/>
        </w:rPr>
        <w:t>« </w:t>
      </w:r>
      <w:r w:rsidR="00DA259E" w:rsidRPr="00CA0FBA">
        <w:rPr>
          <w:rFonts w:ascii="Times New Roman" w:hAnsi="Times New Roman"/>
          <w:sz w:val="22"/>
          <w:lang w:val="fr-FR"/>
        </w:rPr>
        <w:t xml:space="preserve">L’intervention extérieure de nos forces s’inscrit dans un triple objectif : assurer la protection de nos ressortissants à l’étranger, défendre nos intérêts stratégiques, comme ceux de nos </w:t>
      </w:r>
      <w:r w:rsidR="00DA259E" w:rsidRPr="00CA0FBA">
        <w:rPr>
          <w:rFonts w:ascii="Times New Roman" w:hAnsi="Times New Roman"/>
          <w:sz w:val="22"/>
          <w:u w:val="single"/>
          <w:lang w:val="fr-FR"/>
        </w:rPr>
        <w:t>partenaires et alliés</w:t>
      </w:r>
      <w:r w:rsidR="00DA259E" w:rsidRPr="00CA0FBA">
        <w:rPr>
          <w:rFonts w:ascii="Times New Roman" w:hAnsi="Times New Roman"/>
          <w:sz w:val="22"/>
          <w:lang w:val="fr-FR"/>
        </w:rPr>
        <w:t xml:space="preserve">, et exercer nos responsabilités internationales. Dans cette logique, la France entend disposer des capacités militaires lui permettant de s’engager dans les zones prioritaires pour sa défense et sa sécurité : la périphérie européenne, le bassin méditerranéen, une partie de l’Afrique - du Sahel à l’Afrique équatoriale -, le Golfe </w:t>
      </w:r>
      <w:proofErr w:type="spellStart"/>
      <w:r w:rsidR="00DA259E" w:rsidRPr="00CA0FBA">
        <w:rPr>
          <w:rFonts w:ascii="Times New Roman" w:hAnsi="Times New Roman"/>
          <w:sz w:val="22"/>
          <w:lang w:val="fr-FR"/>
        </w:rPr>
        <w:t>Arabo-Persique</w:t>
      </w:r>
      <w:proofErr w:type="spellEnd"/>
      <w:r w:rsidR="00DA259E" w:rsidRPr="00CA0FBA">
        <w:rPr>
          <w:rFonts w:ascii="Times New Roman" w:hAnsi="Times New Roman"/>
          <w:sz w:val="22"/>
          <w:lang w:val="fr-FR"/>
        </w:rPr>
        <w:t xml:space="preserve"> et l’océan Indien. Ces capacités lui permettent d’apporter sa contribution à la paix et à la sécurité internationales dans d’autres parties du monde. </w:t>
      </w:r>
    </w:p>
    <w:p w:rsidR="00DA259E" w:rsidRPr="00CA0FBA" w:rsidRDefault="00DA259E" w:rsidP="00826FFA">
      <w:pPr>
        <w:jc w:val="both"/>
        <w:rPr>
          <w:sz w:val="22"/>
          <w:szCs w:val="22"/>
          <w:lang w:val="fr-FR"/>
        </w:rPr>
      </w:pPr>
      <w:r w:rsidRPr="00CA0FBA">
        <w:rPr>
          <w:sz w:val="22"/>
          <w:szCs w:val="22"/>
          <w:lang w:val="fr-FR"/>
        </w:rPr>
        <w:lastRenderedPageBreak/>
        <w:t xml:space="preserve">L’évolution du contexte stratégique pourrait amener notre pays à devoir prendre l’initiative d’opérations, ou à assumer, plus souvent que par le passé, une part substantielle des responsabilités impliquées par la conduite de l’action militaire. La France estime qu’elle contribuera d’autant mieux à une réponse collective qu’elle disposera des capacités d’initiative et d’action autonomes lui permettant aussi </w:t>
      </w:r>
      <w:r w:rsidRPr="00CA0FBA">
        <w:rPr>
          <w:sz w:val="22"/>
          <w:szCs w:val="22"/>
          <w:u w:val="single"/>
          <w:lang w:val="fr-FR"/>
        </w:rPr>
        <w:t>d'entraîner et de fédérer l’action de ses alliés et partenaires</w:t>
      </w:r>
      <w:r w:rsidRPr="00CA0FBA">
        <w:rPr>
          <w:sz w:val="22"/>
          <w:szCs w:val="22"/>
          <w:lang w:val="fr-FR"/>
        </w:rPr>
        <w:t>. La France fait dès lors du principe d’autonomie stratégique le fondement de sa stratégie en matière d’intervention extérieure. Elle disposera des capacités lui conférant une autonomie d’appréciation, de planification et de commandement, ainsi que des capacités critiques qui sont à la base de son autonomie de décision et d’action opérationnelles. »</w:t>
      </w:r>
    </w:p>
    <w:p w:rsidR="00DA259E" w:rsidRPr="00CA0FBA" w:rsidRDefault="00DA259E" w:rsidP="00DA259E">
      <w:pPr>
        <w:rPr>
          <w:sz w:val="22"/>
          <w:szCs w:val="22"/>
          <w:lang w:val="fr-FR"/>
        </w:rPr>
      </w:pPr>
    </w:p>
    <w:p w:rsidR="00DA259E" w:rsidRPr="00CA0FBA" w:rsidRDefault="00DA259E" w:rsidP="00DA259E">
      <w:pPr>
        <w:rPr>
          <w:sz w:val="22"/>
          <w:szCs w:val="22"/>
          <w:lang w:val="fr-FR"/>
        </w:rPr>
      </w:pPr>
      <w:r w:rsidRPr="00CA0FBA">
        <w:rPr>
          <w:sz w:val="22"/>
          <w:szCs w:val="22"/>
          <w:lang w:val="fr-FR"/>
        </w:rPr>
        <w:t>[…]</w:t>
      </w:r>
    </w:p>
    <w:p w:rsidR="00DA259E" w:rsidRPr="00CA0FBA" w:rsidRDefault="00DA259E" w:rsidP="00DA259E">
      <w:pPr>
        <w:rPr>
          <w:sz w:val="22"/>
          <w:lang w:val="fr-FR"/>
        </w:rPr>
      </w:pPr>
      <w:r w:rsidRPr="00CA0FBA">
        <w:rPr>
          <w:sz w:val="22"/>
          <w:lang w:val="fr-FR"/>
        </w:rPr>
        <w:t> </w:t>
      </w:r>
    </w:p>
    <w:p w:rsidR="00DA259E" w:rsidRPr="00CA0FBA" w:rsidRDefault="00DA259E" w:rsidP="00DA259E">
      <w:pPr>
        <w:pStyle w:val="Paragraphedeliste"/>
        <w:numPr>
          <w:ilvl w:val="0"/>
          <w:numId w:val="13"/>
        </w:numPr>
        <w:suppressAutoHyphens/>
        <w:spacing w:after="0"/>
        <w:contextualSpacing w:val="0"/>
        <w:jc w:val="left"/>
        <w:rPr>
          <w:rFonts w:ascii="Times New Roman" w:hAnsi="Times New Roman"/>
          <w:sz w:val="22"/>
          <w:szCs w:val="20"/>
          <w:lang w:val="fr-FR"/>
        </w:rPr>
      </w:pPr>
      <w:r w:rsidRPr="00CA0FBA">
        <w:rPr>
          <w:rFonts w:ascii="Times New Roman" w:hAnsi="Times New Roman"/>
          <w:sz w:val="22"/>
          <w:szCs w:val="20"/>
          <w:lang w:val="fr-FR"/>
        </w:rPr>
        <w:t>« La connaissance et l’anticipation</w:t>
      </w:r>
    </w:p>
    <w:p w:rsidR="00DA259E" w:rsidRPr="00CA0FBA" w:rsidRDefault="00DA259E" w:rsidP="00826FFA">
      <w:pPr>
        <w:jc w:val="both"/>
        <w:rPr>
          <w:sz w:val="22"/>
          <w:lang w:val="fr-FR"/>
        </w:rPr>
      </w:pPr>
      <w:r w:rsidRPr="00CA0FBA">
        <w:rPr>
          <w:sz w:val="22"/>
          <w:lang w:val="fr-FR"/>
        </w:rPr>
        <w:t xml:space="preserve">Notre capacité de décision souveraine et d’appréciation autonome des situations, repose sur la fonction connaissance et anticipation, qui recouvre notamment le renseignement, domaine dans lequel notre effort sera accru. Les capacités techniques de recueil et d’exploitation du renseignement seront renforcées tandis que sera systématisé le principe de mutualisation entre services des capacités d’acquisition. Les capacités spatiales de renseignement électromagnétique et de renseignement image seront développées, la France étant disposée à appliquer pour ces capacités une approche reposant sur des interdépendances librement consenties entre </w:t>
      </w:r>
      <w:r w:rsidRPr="00CA0FBA">
        <w:rPr>
          <w:sz w:val="22"/>
          <w:u w:val="single"/>
          <w:lang w:val="fr-FR"/>
        </w:rPr>
        <w:t>partenaires européens.</w:t>
      </w:r>
      <w:r w:rsidRPr="00CA0FBA">
        <w:rPr>
          <w:sz w:val="22"/>
          <w:lang w:val="fr-FR"/>
        </w:rPr>
        <w:t xml:space="preserve"> » </w:t>
      </w:r>
    </w:p>
    <w:p w:rsidR="00DA259E" w:rsidRPr="00CA0FBA" w:rsidRDefault="00DA259E" w:rsidP="00DA259E">
      <w:pPr>
        <w:rPr>
          <w:sz w:val="22"/>
          <w:lang w:val="fr-FR"/>
        </w:rPr>
      </w:pPr>
    </w:p>
    <w:p w:rsidR="00DA259E" w:rsidRPr="00CA0FBA" w:rsidRDefault="00DA259E" w:rsidP="00DA259E">
      <w:pPr>
        <w:rPr>
          <w:sz w:val="22"/>
        </w:rPr>
      </w:pPr>
      <w:r w:rsidRPr="00CA0FBA">
        <w:rPr>
          <w:sz w:val="22"/>
          <w:lang w:val="fr-FR"/>
        </w:rPr>
        <w:t>[…]</w:t>
      </w:r>
    </w:p>
    <w:p w:rsidR="00DA259E" w:rsidRPr="00CA0FBA" w:rsidRDefault="00DA259E" w:rsidP="00DA259E">
      <w:pPr>
        <w:rPr>
          <w:sz w:val="22"/>
          <w:lang w:val="fr-FR"/>
        </w:rPr>
      </w:pPr>
    </w:p>
    <w:p w:rsidR="00DA259E" w:rsidRPr="00CA0FBA" w:rsidRDefault="00DA259E" w:rsidP="00DA259E">
      <w:pPr>
        <w:pStyle w:val="Paragraphedeliste"/>
        <w:numPr>
          <w:ilvl w:val="0"/>
          <w:numId w:val="13"/>
        </w:numPr>
        <w:suppressAutoHyphens/>
        <w:spacing w:after="0"/>
        <w:contextualSpacing w:val="0"/>
        <w:jc w:val="left"/>
        <w:rPr>
          <w:rFonts w:ascii="Times New Roman" w:hAnsi="Times New Roman"/>
          <w:sz w:val="22"/>
          <w:szCs w:val="20"/>
          <w:lang w:val="fr-FR"/>
        </w:rPr>
      </w:pPr>
      <w:r w:rsidRPr="00CA0FBA">
        <w:rPr>
          <w:rFonts w:ascii="Times New Roman" w:hAnsi="Times New Roman"/>
          <w:sz w:val="22"/>
          <w:szCs w:val="20"/>
          <w:lang w:val="fr-FR"/>
        </w:rPr>
        <w:t>« La prévention</w:t>
      </w:r>
    </w:p>
    <w:p w:rsidR="00DA259E" w:rsidRPr="00CA0FBA" w:rsidRDefault="00DA259E" w:rsidP="00826FFA">
      <w:pPr>
        <w:jc w:val="both"/>
        <w:rPr>
          <w:sz w:val="22"/>
          <w:lang w:val="fr-FR"/>
        </w:rPr>
      </w:pPr>
      <w:r w:rsidRPr="00CA0FBA">
        <w:rPr>
          <w:sz w:val="22"/>
          <w:lang w:val="fr-FR"/>
        </w:rPr>
        <w:t xml:space="preserve">La stratégie de défense et de sécurité nationale repose sur une capacité crédible de prévention et de gestion civilo-militaire des crises, laquelle doit pouvoir s’appuyer sur une stratégie et sur une organisation interministérielles consolidées, permettant la mobilisation efficace et coordonnée des moyens des ministères compétents. Cette démarche pilotée par le ministère des Affaires étrangères s’inscrira dans le cadre des efforts de la France visant à </w:t>
      </w:r>
      <w:r w:rsidRPr="00CA0FBA">
        <w:rPr>
          <w:sz w:val="22"/>
          <w:u w:val="single"/>
          <w:lang w:val="fr-FR"/>
        </w:rPr>
        <w:t>améliorer les capacités de gestion de crise de l’Union européenne.</w:t>
      </w:r>
      <w:r w:rsidRPr="00CA0FBA">
        <w:rPr>
          <w:sz w:val="22"/>
          <w:lang w:val="fr-FR"/>
        </w:rPr>
        <w:t> »</w:t>
      </w:r>
    </w:p>
    <w:p w:rsidR="00DA259E" w:rsidRPr="00CA0FBA" w:rsidRDefault="00DA259E" w:rsidP="00DA259E">
      <w:pPr>
        <w:rPr>
          <w:sz w:val="22"/>
          <w:lang w:val="fr-FR"/>
        </w:rPr>
      </w:pPr>
    </w:p>
    <w:p w:rsidR="00DA259E" w:rsidRPr="00CA0FBA" w:rsidRDefault="00DA259E" w:rsidP="00DA259E">
      <w:pPr>
        <w:rPr>
          <w:sz w:val="22"/>
        </w:rPr>
      </w:pPr>
      <w:r w:rsidRPr="00CA0FBA">
        <w:rPr>
          <w:sz w:val="22"/>
          <w:lang w:val="fr-FR"/>
        </w:rPr>
        <w:t>[…]</w:t>
      </w:r>
    </w:p>
    <w:p w:rsidR="00DA259E" w:rsidRPr="00CA0FBA" w:rsidRDefault="00DA259E" w:rsidP="00DA259E">
      <w:pPr>
        <w:rPr>
          <w:sz w:val="22"/>
          <w:lang w:val="fr-FR"/>
        </w:rPr>
      </w:pPr>
    </w:p>
    <w:p w:rsidR="00DA259E" w:rsidRPr="00CA0FBA" w:rsidRDefault="00DA259E" w:rsidP="00DA259E">
      <w:pPr>
        <w:rPr>
          <w:sz w:val="22"/>
          <w:lang w:val="fr-FR"/>
        </w:rPr>
      </w:pPr>
    </w:p>
    <w:p w:rsidR="00DA259E" w:rsidRPr="00CA0FBA" w:rsidRDefault="00DA259E" w:rsidP="00DA259E">
      <w:pPr>
        <w:pStyle w:val="Paragraphedeliste"/>
        <w:numPr>
          <w:ilvl w:val="0"/>
          <w:numId w:val="13"/>
        </w:numPr>
        <w:suppressAutoHyphens/>
        <w:spacing w:after="0"/>
        <w:contextualSpacing w:val="0"/>
        <w:rPr>
          <w:rFonts w:ascii="Times New Roman" w:hAnsi="Times New Roman"/>
          <w:sz w:val="28"/>
        </w:rPr>
      </w:pPr>
      <w:r w:rsidRPr="00CA0FBA">
        <w:rPr>
          <w:rFonts w:ascii="Times New Roman" w:hAnsi="Times New Roman"/>
          <w:sz w:val="22"/>
          <w:szCs w:val="20"/>
          <w:lang w:val="fr-FR"/>
        </w:rPr>
        <w:t>« Le modèle d’armée</w:t>
      </w:r>
    </w:p>
    <w:p w:rsidR="00DA259E" w:rsidRPr="00CA0FBA" w:rsidRDefault="00DA259E" w:rsidP="00826FFA">
      <w:pPr>
        <w:pStyle w:val="Paragraphedeliste"/>
        <w:suppressAutoHyphens/>
        <w:spacing w:after="0"/>
        <w:contextualSpacing w:val="0"/>
        <w:rPr>
          <w:rFonts w:ascii="Times New Roman" w:hAnsi="Times New Roman"/>
          <w:sz w:val="28"/>
        </w:rPr>
      </w:pPr>
    </w:p>
    <w:p w:rsidR="00DA259E" w:rsidRPr="00CA0FBA" w:rsidRDefault="00DA259E" w:rsidP="00DA259E">
      <w:pPr>
        <w:rPr>
          <w:sz w:val="22"/>
          <w:lang w:val="fr-FR"/>
        </w:rPr>
      </w:pPr>
      <w:r w:rsidRPr="00CA0FBA">
        <w:rPr>
          <w:sz w:val="22"/>
          <w:lang w:val="fr-FR"/>
        </w:rPr>
        <w:t xml:space="preserve">[…] </w:t>
      </w:r>
    </w:p>
    <w:p w:rsidR="00DA259E" w:rsidRPr="00CA0FBA" w:rsidRDefault="00DA259E" w:rsidP="00DA259E">
      <w:pPr>
        <w:rPr>
          <w:sz w:val="22"/>
          <w:lang w:val="fr-FR"/>
        </w:rPr>
      </w:pPr>
    </w:p>
    <w:p w:rsidR="00DA259E" w:rsidRPr="00CA0FBA" w:rsidRDefault="00DA259E" w:rsidP="00DA259E">
      <w:pPr>
        <w:rPr>
          <w:sz w:val="22"/>
          <w:lang w:val="fr-FR"/>
        </w:rPr>
      </w:pPr>
      <w:proofErr w:type="gramStart"/>
      <w:r w:rsidRPr="00CA0FBA">
        <w:rPr>
          <w:sz w:val="22"/>
          <w:lang w:val="fr-FR"/>
        </w:rPr>
        <w:t>la</w:t>
      </w:r>
      <w:proofErr w:type="gramEnd"/>
      <w:r w:rsidRPr="00CA0FBA">
        <w:rPr>
          <w:sz w:val="22"/>
          <w:lang w:val="fr-FR"/>
        </w:rPr>
        <w:t xml:space="preserve"> mutualisation qui conduit à utiliser les capacités rares et critiques au bénéfice de plusieurs missions (protection des approches, dissuasion, intervention extérieure) ou à rechercher auprès de nos </w:t>
      </w:r>
      <w:r w:rsidRPr="00CA0FBA">
        <w:rPr>
          <w:sz w:val="22"/>
          <w:u w:val="single"/>
          <w:lang w:val="fr-FR"/>
        </w:rPr>
        <w:t>partenaires européens</w:t>
      </w:r>
      <w:r w:rsidRPr="00CA0FBA">
        <w:rPr>
          <w:sz w:val="22"/>
          <w:lang w:val="fr-FR"/>
        </w:rPr>
        <w:t xml:space="preserve"> une mise en commun des capacités indispensables à l’action. »</w:t>
      </w:r>
    </w:p>
    <w:p w:rsidR="00DA259E" w:rsidRPr="00CA0FBA" w:rsidRDefault="00DA259E" w:rsidP="00DA259E">
      <w:pPr>
        <w:rPr>
          <w:sz w:val="22"/>
          <w:lang w:val="fr-FR"/>
        </w:rPr>
      </w:pPr>
    </w:p>
    <w:p w:rsidR="00DA259E" w:rsidRPr="00CA0FBA" w:rsidRDefault="00DA259E" w:rsidP="00DA259E">
      <w:pPr>
        <w:rPr>
          <w:sz w:val="22"/>
          <w:lang w:val="fr-FR"/>
        </w:rPr>
      </w:pPr>
      <w:r w:rsidRPr="00CA0FBA">
        <w:rPr>
          <w:sz w:val="22"/>
          <w:lang w:val="fr-FR"/>
        </w:rPr>
        <w:t>[…]</w:t>
      </w:r>
    </w:p>
    <w:p w:rsidR="00DA259E" w:rsidRPr="00CA0FBA" w:rsidRDefault="00DA259E" w:rsidP="00DA259E">
      <w:pPr>
        <w:rPr>
          <w:sz w:val="22"/>
          <w:lang w:val="fr-FR"/>
        </w:rPr>
      </w:pPr>
    </w:p>
    <w:p w:rsidR="00DA259E" w:rsidRPr="00CA0FBA" w:rsidRDefault="00DA259E" w:rsidP="00DA259E">
      <w:pPr>
        <w:pStyle w:val="Paragraphedeliste"/>
        <w:numPr>
          <w:ilvl w:val="0"/>
          <w:numId w:val="13"/>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  L’industrie de défense et de sécurité</w:t>
      </w:r>
    </w:p>
    <w:p w:rsidR="00DA259E" w:rsidRPr="00CA0FBA" w:rsidRDefault="00DA259E" w:rsidP="006554CC">
      <w:pPr>
        <w:jc w:val="both"/>
        <w:rPr>
          <w:sz w:val="22"/>
          <w:lang w:val="fr-FR"/>
        </w:rPr>
      </w:pPr>
      <w:r w:rsidRPr="00CA0FBA">
        <w:rPr>
          <w:sz w:val="22"/>
          <w:lang w:val="fr-FR"/>
        </w:rPr>
        <w:t>L’industrie de défense est une composante majeure de l’autonomie stratégiq</w:t>
      </w:r>
      <w:r w:rsidR="00826FFA">
        <w:rPr>
          <w:sz w:val="22"/>
          <w:lang w:val="fr-FR"/>
        </w:rPr>
        <w:t>ue de la France. Avec plus de 4.</w:t>
      </w:r>
      <w:r w:rsidRPr="00CA0FBA">
        <w:rPr>
          <w:sz w:val="22"/>
          <w:lang w:val="fr-FR"/>
        </w:rPr>
        <w:t>000 entreprises, elle contribue de manière importante à notre économie, à l’innovation scientifique et technologique, comme à la création d’emplois. Dans un contexte marqué par une contraction du marché national et européen et par une concurrence internationale exacerbée, le Livre blanc réaffirme l’impératif de maintien en France d’une industrie de défense parmi les premières mondiales. Celle-ci permet à notre pays de disposer des capacités technologiques indispensables à son autonomie stratégique. Cette politique se développera suivant quatre axes principaux :</w:t>
      </w:r>
    </w:p>
    <w:p w:rsidR="00DA259E" w:rsidRPr="00CA0FBA" w:rsidRDefault="00DA259E" w:rsidP="006554CC">
      <w:pPr>
        <w:jc w:val="both"/>
        <w:rPr>
          <w:sz w:val="22"/>
          <w:lang w:val="fr-FR"/>
        </w:rPr>
      </w:pPr>
      <w:r w:rsidRPr="00CA0FBA">
        <w:rPr>
          <w:sz w:val="22"/>
          <w:lang w:val="fr-FR"/>
        </w:rPr>
        <w:t>- le maintien d’un budget significatif en matière de recherche et de développement ;</w:t>
      </w:r>
    </w:p>
    <w:p w:rsidR="00DA259E" w:rsidRPr="00CA0FBA" w:rsidRDefault="00DA259E" w:rsidP="006554CC">
      <w:pPr>
        <w:jc w:val="both"/>
        <w:rPr>
          <w:sz w:val="22"/>
          <w:lang w:val="fr-FR"/>
        </w:rPr>
      </w:pPr>
      <w:r w:rsidRPr="00CA0FBA">
        <w:rPr>
          <w:sz w:val="22"/>
          <w:lang w:val="fr-FR"/>
        </w:rPr>
        <w:t xml:space="preserve">- l’accompagnement des efforts de nos entreprises à l’international pour accroître le volume de leurs exportations, dans le cadre strict de nos mécanismes de contrôle et de nos </w:t>
      </w:r>
      <w:r w:rsidRPr="00CA0FBA">
        <w:rPr>
          <w:sz w:val="22"/>
          <w:u w:val="single"/>
          <w:lang w:val="fr-FR"/>
        </w:rPr>
        <w:t>engagements européens</w:t>
      </w:r>
      <w:r w:rsidRPr="00CA0FBA">
        <w:rPr>
          <w:sz w:val="22"/>
          <w:lang w:val="fr-FR"/>
        </w:rPr>
        <w:t xml:space="preserve"> et internationaux ;</w:t>
      </w:r>
    </w:p>
    <w:p w:rsidR="00DA259E" w:rsidRPr="00CA0FBA" w:rsidRDefault="00DA259E" w:rsidP="006554CC">
      <w:pPr>
        <w:jc w:val="both"/>
        <w:rPr>
          <w:sz w:val="22"/>
          <w:lang w:val="fr-FR"/>
        </w:rPr>
      </w:pPr>
      <w:r w:rsidRPr="00CA0FBA">
        <w:rPr>
          <w:sz w:val="22"/>
          <w:lang w:val="fr-FR"/>
        </w:rPr>
        <w:lastRenderedPageBreak/>
        <w:t xml:space="preserve">- l’exploitation systématique de toutes les voies de coopération en matière d’armement. Les progrès récemment réalisés par la France et le Royaume-Uni dans le domaine de l’industrie des missiles illustrent la faisabilité et la pertinence de cette approche. La France est disposée à étendre à d’autres domaines et à d’autres </w:t>
      </w:r>
      <w:r w:rsidRPr="00CA0FBA">
        <w:rPr>
          <w:sz w:val="22"/>
          <w:u w:val="single"/>
          <w:lang w:val="fr-FR"/>
        </w:rPr>
        <w:t>partenaires européens la mise en place de cadres communs pour le soutien d’une base industrielle de défense européenne économiquement viable</w:t>
      </w:r>
      <w:r w:rsidRPr="00CA0FBA">
        <w:rPr>
          <w:sz w:val="22"/>
          <w:lang w:val="fr-FR"/>
        </w:rPr>
        <w:t xml:space="preserve"> ;</w:t>
      </w:r>
    </w:p>
    <w:p w:rsidR="00DA259E" w:rsidRPr="00CA0FBA" w:rsidRDefault="00DA259E" w:rsidP="006554CC">
      <w:pPr>
        <w:jc w:val="both"/>
        <w:rPr>
          <w:sz w:val="22"/>
          <w:lang w:val="fr-BE"/>
        </w:rPr>
      </w:pPr>
      <w:r w:rsidRPr="00CA0FBA">
        <w:rPr>
          <w:sz w:val="22"/>
          <w:lang w:val="fr-FR"/>
        </w:rPr>
        <w:t xml:space="preserve">- le recours à tous les moyens dont dispose l’État, comme actionnaire, comme client et comme prescripteur, pour faciliter les restructurations industrielles qui s’imposent à </w:t>
      </w:r>
      <w:r w:rsidRPr="00CA0FBA">
        <w:rPr>
          <w:sz w:val="22"/>
          <w:u w:val="single"/>
          <w:lang w:val="fr-FR"/>
        </w:rPr>
        <w:t>l’échelle européenne.</w:t>
      </w:r>
      <w:r w:rsidRPr="00CA0FBA">
        <w:rPr>
          <w:sz w:val="22"/>
          <w:lang w:val="fr-FR"/>
        </w:rPr>
        <w:t> »</w:t>
      </w:r>
    </w:p>
    <w:p w:rsidR="00DA259E" w:rsidRDefault="00DA259E" w:rsidP="006554CC">
      <w:pPr>
        <w:jc w:val="both"/>
        <w:rPr>
          <w:sz w:val="22"/>
          <w:lang w:val="fr-FR"/>
        </w:rPr>
      </w:pPr>
    </w:p>
    <w:p w:rsidR="00826FFA" w:rsidRPr="00CA0FBA" w:rsidRDefault="00826FFA" w:rsidP="006554CC">
      <w:pPr>
        <w:jc w:val="both"/>
        <w:rPr>
          <w:sz w:val="22"/>
          <w:lang w:val="fr-FR"/>
        </w:rPr>
      </w:pPr>
    </w:p>
    <w:p w:rsidR="00DA259E" w:rsidRPr="00CA0FBA" w:rsidRDefault="00DA259E" w:rsidP="00DA259E">
      <w:pPr>
        <w:rPr>
          <w:b/>
          <w:sz w:val="28"/>
          <w:szCs w:val="28"/>
          <w:lang w:val="fr-FR"/>
        </w:rPr>
      </w:pPr>
      <w:r w:rsidRPr="00CA0FBA">
        <w:rPr>
          <w:b/>
          <w:sz w:val="28"/>
          <w:szCs w:val="28"/>
          <w:lang w:val="fr-FR"/>
        </w:rPr>
        <w:t>Réactions des acteurs politiques et militaires et des think tanks français en lien avec la sécurité-défense européenne</w:t>
      </w:r>
    </w:p>
    <w:p w:rsidR="00DA259E" w:rsidRPr="006554CC" w:rsidRDefault="00DA259E" w:rsidP="00DA259E">
      <w:pPr>
        <w:rPr>
          <w:rFonts w:asciiTheme="minorHAnsi" w:hAnsiTheme="minorHAnsi" w:cstheme="minorHAnsi"/>
          <w:b/>
          <w:sz w:val="28"/>
          <w:szCs w:val="28"/>
          <w:lang w:val="fr-FR"/>
        </w:rPr>
      </w:pPr>
    </w:p>
    <w:p w:rsidR="00DA259E" w:rsidRPr="00CA0FBA" w:rsidRDefault="00DA259E" w:rsidP="00DA259E">
      <w:pPr>
        <w:rPr>
          <w:sz w:val="22"/>
          <w:szCs w:val="24"/>
          <w:lang w:val="fr-FR"/>
        </w:rPr>
      </w:pPr>
      <w:r w:rsidRPr="00CA0FBA">
        <w:rPr>
          <w:sz w:val="22"/>
          <w:szCs w:val="24"/>
          <w:lang w:val="fr-FR"/>
        </w:rPr>
        <w:t>Un certain nombre de réactions eurent lieu à la sortie, le 29 avril 2013, du Livre blanc de la défense. Dans le champ précis qu’est la position hexagonale officielle autour de la sécurité-défense européenne, plusieurs tendances peuvent être dégagées :</w:t>
      </w:r>
    </w:p>
    <w:p w:rsidR="00DA259E" w:rsidRPr="00CA0FBA" w:rsidRDefault="00DA259E" w:rsidP="00DA259E">
      <w:pPr>
        <w:rPr>
          <w:sz w:val="22"/>
          <w:szCs w:val="24"/>
          <w:lang w:val="fr-FR"/>
        </w:rPr>
      </w:pPr>
    </w:p>
    <w:p w:rsidR="00DA259E" w:rsidRPr="00CA0FBA" w:rsidRDefault="00DA259E" w:rsidP="00DA259E">
      <w:pPr>
        <w:pStyle w:val="Paragraphedeliste"/>
        <w:numPr>
          <w:ilvl w:val="0"/>
          <w:numId w:val="17"/>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Même si le Livre blanc n’est pas révolutionnaire et que la continuité est bien là (par rapport à celui de 2008)</w:t>
      </w:r>
      <w:r w:rsidRPr="00CA0FBA">
        <w:rPr>
          <w:rStyle w:val="Appelnotedebasdep"/>
          <w:rFonts w:ascii="Times New Roman" w:hAnsi="Times New Roman"/>
          <w:sz w:val="22"/>
          <w:szCs w:val="20"/>
        </w:rPr>
        <w:footnoteReference w:id="67"/>
      </w:r>
      <w:r w:rsidRPr="00CA0FBA">
        <w:rPr>
          <w:rFonts w:ascii="Times New Roman" w:hAnsi="Times New Roman"/>
          <w:sz w:val="22"/>
          <w:szCs w:val="20"/>
          <w:lang w:val="fr-FR"/>
        </w:rPr>
        <w:t>, il y a mise en évidence de la cyberdéfense, du renseignement mais aussi de la confirmation de l’intégration française dans le commandement intégré de l’OTAN, avec prise de responsabilité et d’investissement dans une Alliance d’où les États-Unis se désengagent en partie. Le retour sur l’Afrique est aussi la reconnaissance que le Sahel est un enjeu et que la fermeture des bases avancées en Afrique n’est plus d’actualité. Ces éléments ont des conséquences dans les opérations en coalition.</w:t>
      </w:r>
    </w:p>
    <w:p w:rsidR="00DA259E" w:rsidRPr="00CA0FBA" w:rsidRDefault="00DA259E" w:rsidP="00DA259E">
      <w:pPr>
        <w:rPr>
          <w:sz w:val="22"/>
          <w:szCs w:val="24"/>
          <w:lang w:val="fr-FR"/>
        </w:rPr>
      </w:pPr>
    </w:p>
    <w:p w:rsidR="00DA259E" w:rsidRPr="00CA0FBA" w:rsidRDefault="00DA259E" w:rsidP="00DA259E">
      <w:pPr>
        <w:pStyle w:val="Paragraphedeliste"/>
        <w:numPr>
          <w:ilvl w:val="0"/>
          <w:numId w:val="17"/>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Une Europe de la défense ambitieuse est fragilisée</w:t>
      </w:r>
      <w:r w:rsidRPr="00CA0FBA">
        <w:rPr>
          <w:rStyle w:val="Appelnotedebasdep"/>
          <w:rFonts w:ascii="Times New Roman" w:hAnsi="Times New Roman"/>
          <w:sz w:val="22"/>
          <w:szCs w:val="20"/>
        </w:rPr>
        <w:footnoteReference w:id="68"/>
      </w:r>
      <w:r w:rsidRPr="00CA0FBA">
        <w:rPr>
          <w:rStyle w:val="Appelnotedebasdep"/>
          <w:rFonts w:ascii="Times New Roman" w:hAnsi="Times New Roman"/>
          <w:sz w:val="22"/>
          <w:szCs w:val="20"/>
          <w:lang w:val="fr-FR"/>
        </w:rPr>
        <w:t xml:space="preserve"> </w:t>
      </w:r>
      <w:r w:rsidRPr="00CA0FBA">
        <w:rPr>
          <w:rStyle w:val="Appelnotedebasdep"/>
          <w:rFonts w:ascii="Times New Roman" w:hAnsi="Times New Roman"/>
          <w:sz w:val="22"/>
          <w:szCs w:val="20"/>
          <w:vertAlign w:val="baseline"/>
          <w:lang w:val="fr-FR"/>
        </w:rPr>
        <w:t>en France et dans les pays alliés suite à la crise économique et financière. La prudence ou l’attente autour de la PSDC repose également sur de possibles avancées d’influence française au sein de l’Alliance atlantique</w:t>
      </w:r>
      <w:r w:rsidRPr="00CA0FBA">
        <w:rPr>
          <w:rStyle w:val="Appelnotedebasdep"/>
          <w:rFonts w:ascii="Times New Roman" w:hAnsi="Times New Roman"/>
          <w:sz w:val="22"/>
          <w:szCs w:val="20"/>
        </w:rPr>
        <w:footnoteReference w:id="69"/>
      </w:r>
      <w:r w:rsidRPr="00CA0FBA">
        <w:rPr>
          <w:rFonts w:ascii="Times New Roman" w:hAnsi="Times New Roman"/>
          <w:sz w:val="22"/>
          <w:szCs w:val="20"/>
          <w:lang w:val="fr-FR"/>
        </w:rPr>
        <w:t>. Le désengagement américain peut ouvrir une voie royale à la France et aux partenaires dans le cadre de la défense européenne</w:t>
      </w:r>
      <w:r w:rsidRPr="00CA0FBA">
        <w:rPr>
          <w:rStyle w:val="Appelnotedebasdep"/>
          <w:rFonts w:ascii="Times New Roman" w:hAnsi="Times New Roman"/>
          <w:sz w:val="22"/>
          <w:szCs w:val="20"/>
        </w:rPr>
        <w:footnoteReference w:id="70"/>
      </w:r>
      <w:r w:rsidRPr="00CA0FBA">
        <w:rPr>
          <w:rFonts w:ascii="Times New Roman" w:hAnsi="Times New Roman"/>
          <w:sz w:val="22"/>
          <w:szCs w:val="20"/>
          <w:lang w:val="fr-FR"/>
        </w:rPr>
        <w:t>.</w:t>
      </w:r>
    </w:p>
    <w:p w:rsidR="00DA259E" w:rsidRPr="00CA0FBA" w:rsidRDefault="00DA259E" w:rsidP="00DA259E">
      <w:pPr>
        <w:pStyle w:val="Paragraphedeliste"/>
        <w:rPr>
          <w:rFonts w:ascii="Times New Roman" w:hAnsi="Times New Roman"/>
          <w:sz w:val="22"/>
          <w:szCs w:val="20"/>
          <w:lang w:val="fr-FR"/>
        </w:rPr>
      </w:pPr>
    </w:p>
    <w:p w:rsidR="00DA259E" w:rsidRPr="00CA0FBA" w:rsidRDefault="00DA259E" w:rsidP="00DA259E">
      <w:pPr>
        <w:pStyle w:val="Paragraphedeliste"/>
        <w:numPr>
          <w:ilvl w:val="0"/>
          <w:numId w:val="17"/>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Avec un budget de 1,3% du PIB, la France est fortement fragilisée alors que les partenaires européens réduisent à grande vitesse leurs dépenses de défense sans aucune coordination. Ainsi, les Pays-Bas viennent de décider de perdre leur capacité d’action autonome, en choisissant l’impasse capacitaire</w:t>
      </w:r>
      <w:r w:rsidRPr="00CA0FBA">
        <w:rPr>
          <w:rStyle w:val="Appelnotedebasdep"/>
          <w:rFonts w:ascii="Times New Roman" w:hAnsi="Times New Roman"/>
          <w:sz w:val="22"/>
          <w:szCs w:val="20"/>
        </w:rPr>
        <w:footnoteReference w:id="71"/>
      </w:r>
      <w:r w:rsidRPr="00CA0FBA">
        <w:rPr>
          <w:rFonts w:ascii="Times New Roman" w:hAnsi="Times New Roman"/>
          <w:sz w:val="22"/>
          <w:szCs w:val="20"/>
          <w:lang w:val="fr-FR"/>
        </w:rPr>
        <w:t>. Nous ne sommes pas certains que les partenaires européens peuvent combler les</w:t>
      </w:r>
      <w:r w:rsidRPr="00CA0FBA">
        <w:rPr>
          <w:rFonts w:ascii="Times New Roman" w:hAnsi="Times New Roman"/>
          <w:sz w:val="28"/>
          <w:szCs w:val="24"/>
          <w:lang w:val="fr-FR"/>
        </w:rPr>
        <w:t xml:space="preserve"> </w:t>
      </w:r>
      <w:r w:rsidRPr="00CA0FBA">
        <w:rPr>
          <w:rFonts w:ascii="Times New Roman" w:hAnsi="Times New Roman"/>
          <w:sz w:val="22"/>
          <w:szCs w:val="20"/>
          <w:lang w:val="fr-FR"/>
        </w:rPr>
        <w:t>lacunes capacitaires françaises en cas d’opérations</w:t>
      </w:r>
      <w:r w:rsidRPr="00CA0FBA">
        <w:rPr>
          <w:rStyle w:val="Appelnotedebasdep"/>
          <w:rFonts w:ascii="Times New Roman" w:hAnsi="Times New Roman"/>
          <w:sz w:val="22"/>
          <w:szCs w:val="20"/>
        </w:rPr>
        <w:footnoteReference w:id="72"/>
      </w:r>
      <w:r w:rsidRPr="00CA0FBA">
        <w:rPr>
          <w:rFonts w:ascii="Times New Roman" w:hAnsi="Times New Roman"/>
          <w:sz w:val="22"/>
          <w:szCs w:val="20"/>
          <w:lang w:val="fr-FR"/>
        </w:rPr>
        <w:t xml:space="preserve">. Tout le monde ment autour de ses capacités. Que va-t-il rester en 2020 pour organiser la défense collective européenne et conserver une capacité d’action autonome  </w:t>
      </w:r>
      <w:proofErr w:type="gramStart"/>
      <w:r w:rsidRPr="00CA0FBA">
        <w:rPr>
          <w:rFonts w:ascii="Times New Roman" w:hAnsi="Times New Roman"/>
          <w:sz w:val="22"/>
          <w:szCs w:val="20"/>
          <w:lang w:val="fr-FR"/>
        </w:rPr>
        <w:t>?</w:t>
      </w:r>
      <w:r w:rsidRPr="00CA0FBA">
        <w:rPr>
          <w:rStyle w:val="Appelnotedebasdep"/>
          <w:rFonts w:ascii="Times New Roman" w:hAnsi="Times New Roman"/>
          <w:sz w:val="22"/>
          <w:szCs w:val="20"/>
        </w:rPr>
        <w:footnoteReference w:id="73"/>
      </w:r>
      <w:r w:rsidRPr="00CA0FBA">
        <w:rPr>
          <w:rFonts w:ascii="Times New Roman" w:hAnsi="Times New Roman"/>
          <w:sz w:val="22"/>
          <w:szCs w:val="20"/>
          <w:lang w:val="fr-FR"/>
        </w:rPr>
        <w:t>.</w:t>
      </w:r>
      <w:proofErr w:type="gramEnd"/>
      <w:r w:rsidRPr="00CA0FBA">
        <w:rPr>
          <w:rFonts w:ascii="Times New Roman" w:hAnsi="Times New Roman"/>
          <w:sz w:val="22"/>
          <w:szCs w:val="20"/>
          <w:lang w:val="fr-FR"/>
        </w:rPr>
        <w:t xml:space="preserve"> Une réduction de la voilure</w:t>
      </w:r>
      <w:r w:rsidRPr="00CA0FBA">
        <w:rPr>
          <w:rStyle w:val="Appelnotedebasdep"/>
          <w:rFonts w:ascii="Times New Roman" w:hAnsi="Times New Roman"/>
          <w:sz w:val="22"/>
          <w:szCs w:val="20"/>
        </w:rPr>
        <w:footnoteReference w:id="74"/>
      </w:r>
      <w:r w:rsidRPr="00CA0FBA">
        <w:rPr>
          <w:rFonts w:ascii="Times New Roman" w:hAnsi="Times New Roman"/>
          <w:sz w:val="22"/>
          <w:szCs w:val="20"/>
          <w:lang w:val="fr-FR"/>
        </w:rPr>
        <w:t xml:space="preserve"> (forces aériennes et aéronavales françaises) pourrait complexifier les choix opérationnels, au point de ne plus pouvoir se permettre de perdre plus que quelques avions en cas de conflit, vu également la part de risque à compter sur les alliés dans </w:t>
      </w:r>
      <w:r w:rsidRPr="00CA0FBA">
        <w:rPr>
          <w:rFonts w:ascii="Times New Roman" w:hAnsi="Times New Roman"/>
          <w:sz w:val="22"/>
          <w:szCs w:val="20"/>
          <w:lang w:val="fr-FR"/>
        </w:rPr>
        <w:lastRenderedPageBreak/>
        <w:t>leurs engagements</w:t>
      </w:r>
      <w:r w:rsidRPr="00CA0FBA">
        <w:rPr>
          <w:rStyle w:val="Appelnotedebasdep"/>
          <w:rFonts w:ascii="Times New Roman" w:hAnsi="Times New Roman"/>
          <w:sz w:val="22"/>
          <w:szCs w:val="20"/>
        </w:rPr>
        <w:footnoteReference w:id="75"/>
      </w:r>
      <w:r w:rsidRPr="00CA0FBA">
        <w:rPr>
          <w:rFonts w:ascii="Times New Roman" w:hAnsi="Times New Roman"/>
          <w:sz w:val="22"/>
          <w:szCs w:val="20"/>
          <w:lang w:val="fr-FR"/>
        </w:rPr>
        <w:t>. Il est probable que la France devra renégocier ses propres grands contrats d’équipements</w:t>
      </w:r>
      <w:r w:rsidRPr="00CA0FBA">
        <w:rPr>
          <w:rStyle w:val="Appelnotedebasdep"/>
          <w:rFonts w:ascii="Times New Roman" w:hAnsi="Times New Roman"/>
          <w:sz w:val="22"/>
          <w:szCs w:val="20"/>
        </w:rPr>
        <w:footnoteReference w:id="76"/>
      </w:r>
      <w:r w:rsidRPr="00CA0FBA">
        <w:rPr>
          <w:rFonts w:ascii="Times New Roman" w:hAnsi="Times New Roman"/>
          <w:sz w:val="22"/>
          <w:szCs w:val="20"/>
          <w:lang w:val="fr-FR"/>
        </w:rPr>
        <w:t>.</w:t>
      </w:r>
    </w:p>
    <w:p w:rsidR="00DA259E" w:rsidRPr="00CA0FBA" w:rsidRDefault="00DA259E" w:rsidP="00DA259E">
      <w:pPr>
        <w:pStyle w:val="Paragraphedeliste"/>
        <w:rPr>
          <w:rFonts w:ascii="Times New Roman" w:hAnsi="Times New Roman"/>
          <w:sz w:val="22"/>
          <w:szCs w:val="20"/>
          <w:lang w:val="fr-FR"/>
        </w:rPr>
      </w:pPr>
    </w:p>
    <w:p w:rsidR="00DA259E" w:rsidRPr="00CA0FBA" w:rsidRDefault="00DA259E" w:rsidP="00DA259E">
      <w:pPr>
        <w:pStyle w:val="Paragraphedeliste"/>
        <w:numPr>
          <w:ilvl w:val="0"/>
          <w:numId w:val="17"/>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Pour Francis Delon (SGDN), « le Livre blanc de 2013 souligne que la France et ses partenaires européens sont engagés dans une communauté de destin. La construction européenne en matière de défense et de sécurité sera donc un axe fort de la stratégie de la France. Une relance pragmatique de la politique de sécurité et de défense commune s'impose, dans un contexte marqué à la fois par la situation financière critique que</w:t>
      </w:r>
      <w:r w:rsidRPr="00CA0FBA">
        <w:rPr>
          <w:rFonts w:asciiTheme="minorHAnsi" w:hAnsiTheme="minorHAnsi" w:cstheme="minorHAnsi"/>
          <w:sz w:val="22"/>
          <w:szCs w:val="20"/>
          <w:lang w:val="fr-FR"/>
        </w:rPr>
        <w:t xml:space="preserve"> </w:t>
      </w:r>
      <w:r w:rsidRPr="00CA0FBA">
        <w:rPr>
          <w:rFonts w:ascii="Times New Roman" w:hAnsi="Times New Roman"/>
          <w:sz w:val="22"/>
          <w:szCs w:val="20"/>
          <w:lang w:val="fr-FR"/>
        </w:rPr>
        <w:t>connaissent plusieurs pays et l’insuffisante prise de conscience du caractère stratégique de la politique de défense et de sécurité. Comme le soulignait Hubert Védrine, l’OTAN a tellement bien réussi à protéger ses partenaires de l’Alliance qu’elle a découragé tout effort de défense chez ses alliés européens. Il est vrai que la charge de la défense est très inégalement répartie entre les États de l’Union. La France estime néanmoins que les pays européens doivent pouvoir définir les intérêts de sécurité communs essentiels pour l’Union »</w:t>
      </w:r>
      <w:r w:rsidRPr="00CA0FBA">
        <w:rPr>
          <w:rStyle w:val="Appelnotedebasdep"/>
          <w:rFonts w:ascii="Times New Roman" w:hAnsi="Times New Roman"/>
          <w:sz w:val="22"/>
          <w:szCs w:val="20"/>
        </w:rPr>
        <w:footnoteReference w:id="77"/>
      </w:r>
      <w:r w:rsidRPr="00CA0FBA">
        <w:rPr>
          <w:rFonts w:ascii="Times New Roman" w:hAnsi="Times New Roman"/>
          <w:sz w:val="22"/>
          <w:szCs w:val="20"/>
          <w:lang w:val="fr-FR"/>
        </w:rPr>
        <w:t>. Cependant, si pour Benoist Bihan, le Livre blanc 2013 s’inscrit dans les interdépendances librement consenties (UE, OTAN), il y a déshérence de la pensée stratégique française</w:t>
      </w:r>
      <w:r w:rsidRPr="00CA0FBA">
        <w:rPr>
          <w:rStyle w:val="Appelnotedebasdep"/>
          <w:rFonts w:ascii="Times New Roman" w:hAnsi="Times New Roman"/>
          <w:sz w:val="22"/>
          <w:szCs w:val="20"/>
        </w:rPr>
        <w:footnoteReference w:id="78"/>
      </w:r>
      <w:r w:rsidRPr="00CA0FBA">
        <w:rPr>
          <w:rFonts w:ascii="Times New Roman" w:hAnsi="Times New Roman"/>
          <w:sz w:val="22"/>
          <w:szCs w:val="20"/>
          <w:lang w:val="fr-FR"/>
        </w:rPr>
        <w:t>.</w:t>
      </w:r>
    </w:p>
    <w:p w:rsidR="00DA259E" w:rsidRPr="00CA0FBA" w:rsidRDefault="00DA259E" w:rsidP="00DA259E">
      <w:pPr>
        <w:pStyle w:val="Paragraphedeliste"/>
        <w:rPr>
          <w:rFonts w:ascii="Times New Roman" w:hAnsi="Times New Roman"/>
          <w:sz w:val="22"/>
          <w:szCs w:val="20"/>
          <w:lang w:val="fr-FR"/>
        </w:rPr>
      </w:pPr>
    </w:p>
    <w:p w:rsidR="00DA259E" w:rsidRPr="00CA0FBA" w:rsidRDefault="00DA259E" w:rsidP="00DA259E">
      <w:pPr>
        <w:pStyle w:val="Paragraphedeliste"/>
        <w:numPr>
          <w:ilvl w:val="0"/>
          <w:numId w:val="17"/>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Les décisions du Conseil européen doivent permettre de dépasser les insuffisances de l’Union en matière d’opérations extérieures, de favoriser le développement des capacités militaires et d’encourager la consolidation de l’industrie de défense. Le cadre européen a vocation à devenir le cadre de référence, dès lors qu’il s’agit de mobiliser toute la gamme des instruments civils et militaires requis pour mettre en œuvre une approche globale des crises. En outre, la France considère que le partenariat qui lie les États-Unis et l’Union européenne sera d’autant plus solide que cette dernière endossera les responsabilités qui lui incombent dans la gestion des crises qui affectent sa sécurité. Ce projet politique constitue une étape nécessaire pour faire émerger une conscience partagée de nos enjeux de sécurité communs et des moyens d’y faire face, tant à l’intérieur qu’à l’extérieur de l'Europe. La volonté de la France de renforcer les politiques européennes internes contribuant à la sécurité et, dans le même temps, de relancer l’Europe de la défense, est complémentaire. Politique européenne de défense et politique européenne de sécurité concourent au même objectif : œuvrer ensemble à une Europe plus sûre</w:t>
      </w:r>
      <w:r w:rsidRPr="00CA0FBA">
        <w:rPr>
          <w:rStyle w:val="Appelnotedebasdep"/>
          <w:rFonts w:ascii="Times New Roman" w:hAnsi="Times New Roman"/>
          <w:sz w:val="22"/>
          <w:szCs w:val="20"/>
        </w:rPr>
        <w:footnoteReference w:id="79"/>
      </w:r>
      <w:r w:rsidRPr="00CA0FBA">
        <w:rPr>
          <w:rFonts w:ascii="Times New Roman" w:hAnsi="Times New Roman"/>
          <w:sz w:val="22"/>
          <w:szCs w:val="20"/>
          <w:lang w:val="fr-FR"/>
        </w:rPr>
        <w:t>.</w:t>
      </w:r>
    </w:p>
    <w:p w:rsidR="00DA259E" w:rsidRPr="00CA0FBA" w:rsidRDefault="00DA259E" w:rsidP="00DA259E">
      <w:pPr>
        <w:pStyle w:val="Paragraphedeliste"/>
        <w:rPr>
          <w:rFonts w:ascii="Times New Roman" w:hAnsi="Times New Roman"/>
          <w:sz w:val="28"/>
          <w:szCs w:val="24"/>
          <w:lang w:val="fr-FR"/>
        </w:rPr>
      </w:pPr>
    </w:p>
    <w:p w:rsidR="00DA259E" w:rsidRDefault="00DA259E" w:rsidP="00DA259E">
      <w:pPr>
        <w:pStyle w:val="Paragraphedeliste"/>
        <w:numPr>
          <w:ilvl w:val="0"/>
          <w:numId w:val="17"/>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Pour le Conseil européen spécial défense de décembre 2013, le Livre blanc français pose quelques balises et indique les deux écueils à éviter</w:t>
      </w:r>
      <w:r w:rsidRPr="00CA0FBA">
        <w:rPr>
          <w:rStyle w:val="Appelnotedebasdep"/>
          <w:rFonts w:ascii="Times New Roman" w:hAnsi="Times New Roman"/>
          <w:sz w:val="22"/>
          <w:szCs w:val="20"/>
        </w:rPr>
        <w:footnoteReference w:id="80"/>
      </w:r>
      <w:r w:rsidRPr="00CA0FBA">
        <w:rPr>
          <w:rFonts w:ascii="Times New Roman" w:hAnsi="Times New Roman"/>
          <w:sz w:val="22"/>
          <w:szCs w:val="20"/>
          <w:lang w:val="fr-FR"/>
        </w:rPr>
        <w:t>. Il s’agit d’une opportunité pour relancer la dynamique européenne, améliorer les capacités en matière d’opérations extérieures et favoriser leurs mutualisations les plus essentielles pour les opérations les plus plausibles, notamment dans les domaines du transport stratégique, du ravitaillement en</w:t>
      </w:r>
      <w:r w:rsidRPr="00CA0FBA">
        <w:rPr>
          <w:rFonts w:ascii="Times New Roman" w:hAnsi="Times New Roman"/>
          <w:sz w:val="28"/>
          <w:szCs w:val="24"/>
          <w:lang w:val="fr-FR"/>
        </w:rPr>
        <w:t xml:space="preserve"> </w:t>
      </w:r>
      <w:r w:rsidRPr="00CA0FBA">
        <w:rPr>
          <w:rFonts w:ascii="Times New Roman" w:hAnsi="Times New Roman"/>
          <w:sz w:val="22"/>
          <w:szCs w:val="20"/>
          <w:lang w:val="fr-FR"/>
        </w:rPr>
        <w:t>vol, des satellites de communication et de la sécurité int</w:t>
      </w:r>
      <w:r w:rsidR="006856FE" w:rsidRPr="00CA0FBA">
        <w:rPr>
          <w:rFonts w:ascii="Times New Roman" w:hAnsi="Times New Roman"/>
          <w:sz w:val="22"/>
          <w:szCs w:val="20"/>
          <w:lang w:val="fr-FR"/>
        </w:rPr>
        <w:t>érieure dans l’espace européen.</w:t>
      </w:r>
    </w:p>
    <w:p w:rsidR="00826FFA" w:rsidRPr="00826FFA" w:rsidRDefault="00826FFA" w:rsidP="00826FFA">
      <w:pPr>
        <w:suppressAutoHyphens/>
        <w:rPr>
          <w:sz w:val="22"/>
          <w:lang w:val="fr-FR"/>
        </w:rPr>
      </w:pPr>
    </w:p>
    <w:p w:rsidR="00DA259E" w:rsidRPr="00CA0FBA" w:rsidRDefault="00DA259E" w:rsidP="00DA259E">
      <w:pPr>
        <w:pStyle w:val="Paragraphedeliste"/>
        <w:numPr>
          <w:ilvl w:val="0"/>
          <w:numId w:val="17"/>
        </w:numPr>
        <w:suppressAutoHyphens/>
        <w:spacing w:after="0"/>
        <w:contextualSpacing w:val="0"/>
        <w:rPr>
          <w:rFonts w:ascii="Times New Roman" w:hAnsi="Times New Roman"/>
          <w:b/>
          <w:sz w:val="22"/>
          <w:szCs w:val="20"/>
          <w:lang w:val="fr-FR"/>
        </w:rPr>
      </w:pPr>
      <w:r w:rsidRPr="00CA0FBA">
        <w:rPr>
          <w:rFonts w:ascii="Times New Roman" w:hAnsi="Times New Roman"/>
          <w:sz w:val="22"/>
          <w:szCs w:val="20"/>
          <w:lang w:val="fr-FR"/>
        </w:rPr>
        <w:t>À la gauche du PS français, il s’est agi de mettre en garde contre l’austérité et l’atlantisme, dangers pour la souveraineté et l’indépendance de la France</w:t>
      </w:r>
      <w:r w:rsidRPr="00CA0FBA">
        <w:rPr>
          <w:rStyle w:val="Appelnotedebasdep"/>
          <w:rFonts w:ascii="Times New Roman" w:hAnsi="Times New Roman"/>
          <w:sz w:val="22"/>
          <w:szCs w:val="20"/>
        </w:rPr>
        <w:footnoteReference w:id="81"/>
      </w:r>
      <w:r w:rsidRPr="00CA0FBA">
        <w:rPr>
          <w:rFonts w:ascii="Times New Roman" w:hAnsi="Times New Roman"/>
          <w:sz w:val="22"/>
          <w:szCs w:val="20"/>
          <w:lang w:val="fr-FR"/>
        </w:rPr>
        <w:t>. À droite, la critique concerne « le vide dans les choix stratégiques » et la notion « de variable d’ajustement » subie par la défense</w:t>
      </w:r>
      <w:r w:rsidRPr="00CA0FBA">
        <w:rPr>
          <w:rStyle w:val="Appelnotedebasdep"/>
          <w:rFonts w:ascii="Times New Roman" w:hAnsi="Times New Roman"/>
          <w:sz w:val="22"/>
          <w:szCs w:val="20"/>
        </w:rPr>
        <w:footnoteReference w:id="82"/>
      </w:r>
      <w:r w:rsidRPr="00CA0FBA">
        <w:rPr>
          <w:rFonts w:ascii="Times New Roman" w:hAnsi="Times New Roman"/>
          <w:sz w:val="22"/>
          <w:szCs w:val="20"/>
          <w:lang w:val="fr-FR"/>
        </w:rPr>
        <w:t>.</w:t>
      </w:r>
    </w:p>
    <w:p w:rsidR="006856FE" w:rsidRDefault="006856FE">
      <w:pPr>
        <w:rPr>
          <w:b/>
          <w:szCs w:val="24"/>
          <w:lang w:val="fr-FR"/>
        </w:rPr>
      </w:pPr>
      <w:r>
        <w:rPr>
          <w:b/>
          <w:szCs w:val="24"/>
          <w:lang w:val="fr-FR"/>
        </w:rPr>
        <w:br w:type="page"/>
      </w:r>
    </w:p>
    <w:p w:rsidR="00DA259E" w:rsidRDefault="00603254" w:rsidP="00DA259E">
      <w:pPr>
        <w:rPr>
          <w:b/>
          <w:szCs w:val="24"/>
          <w:lang w:val="fr-FR"/>
        </w:rPr>
      </w:pPr>
      <w:r w:rsidRPr="00603254">
        <w:rPr>
          <w:noProof/>
        </w:rPr>
        <w:lastRenderedPageBreak/>
        <w:pict>
          <v:rect id="_x0000_s1042" style="position:absolute;margin-left:6.05pt;margin-top:-24.35pt;width:36pt;height:63pt;z-index:251811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" fillcolor="#1f497d" stroked="f" strokeweight="0" insetpen="t">
            <v:shadow color="#ccc"/>
            <v:textbox inset="2.88pt,2.88pt,2.88pt,2.88pt"/>
          </v:rect>
        </w:pict>
      </w:r>
    </w:p>
    <w:p w:rsidR="00DA259E" w:rsidRPr="006856FE" w:rsidRDefault="00DA259E" w:rsidP="006856FE">
      <w:pPr>
        <w:spacing w:after="360"/>
        <w:ind w:left="993"/>
        <w:jc w:val="both"/>
        <w:rPr>
          <w:rFonts w:ascii="Century Schoolbook" w:hAnsi="Century Schoolbook"/>
          <w:b/>
          <w:color w:val="1F497D"/>
          <w:sz w:val="48"/>
          <w:szCs w:val="48"/>
          <w:lang w:val="fr-BE"/>
        </w:rPr>
      </w:pPr>
      <w:r w:rsidRPr="006856FE">
        <w:rPr>
          <w:rFonts w:ascii="Century Schoolbook" w:hAnsi="Century Schoolbook"/>
          <w:b/>
          <w:color w:val="1F497D"/>
          <w:sz w:val="48"/>
          <w:szCs w:val="48"/>
          <w:lang w:val="fr-BE"/>
        </w:rPr>
        <w:t xml:space="preserve">Conclusion </w:t>
      </w:r>
    </w:p>
    <w:p w:rsidR="00DA259E" w:rsidRDefault="00DA259E" w:rsidP="00DA259E">
      <w:pPr>
        <w:rPr>
          <w:b/>
          <w:sz w:val="28"/>
          <w:szCs w:val="28"/>
          <w:lang w:val="fr-FR"/>
        </w:rPr>
      </w:pPr>
    </w:p>
    <w:p w:rsidR="00DA259E" w:rsidRPr="00CA0FBA" w:rsidRDefault="00DA259E" w:rsidP="006856FE">
      <w:pPr>
        <w:jc w:val="both"/>
        <w:rPr>
          <w:sz w:val="22"/>
          <w:szCs w:val="24"/>
          <w:lang w:val="fr-FR"/>
        </w:rPr>
      </w:pPr>
      <w:r w:rsidRPr="00CA0FBA">
        <w:rPr>
          <w:sz w:val="22"/>
          <w:szCs w:val="24"/>
          <w:lang w:val="fr-FR"/>
        </w:rPr>
        <w:t>Le Livre blanc de la défense 2013 correspond bel et bien à une « </w:t>
      </w:r>
      <w:proofErr w:type="spellStart"/>
      <w:r w:rsidRPr="00CA0FBA">
        <w:rPr>
          <w:sz w:val="22"/>
          <w:szCs w:val="24"/>
          <w:lang w:val="fr-FR"/>
        </w:rPr>
        <w:t>désingularisation</w:t>
      </w:r>
      <w:proofErr w:type="spellEnd"/>
      <w:r w:rsidRPr="00CA0FBA">
        <w:rPr>
          <w:sz w:val="22"/>
          <w:szCs w:val="24"/>
          <w:lang w:val="fr-FR"/>
        </w:rPr>
        <w:t> » de la stratégie française. Le retour dans le commandement intégré est assumé et les autorités hexagonales tentent d’intégrer trois concepts majeurs qui peuvent être, au demeurant, antinomiques : coopération, garantie de souveraineté</w:t>
      </w:r>
      <w:r w:rsidRPr="00CA0FBA">
        <w:rPr>
          <w:rStyle w:val="Appelnotedebasdep"/>
          <w:sz w:val="22"/>
        </w:rPr>
        <w:footnoteReference w:id="83"/>
      </w:r>
      <w:r w:rsidRPr="00CA0FBA">
        <w:rPr>
          <w:rStyle w:val="Appelnotedebasdep"/>
          <w:sz w:val="22"/>
          <w:szCs w:val="24"/>
          <w:vertAlign w:val="baseline"/>
          <w:lang w:val="fr-FR"/>
        </w:rPr>
        <w:t>, protection des intérêts nationaux et capacité à « entrer en premier ». Il s’agit de tenter d’éviter l’effacement stratégique et d’entraîner les alliés européens dans une démarche de responsabilisation via des coopérations à la carte.</w:t>
      </w:r>
    </w:p>
    <w:p w:rsidR="00DA259E" w:rsidRPr="00CA0FBA" w:rsidRDefault="00DA259E" w:rsidP="006856FE">
      <w:pPr>
        <w:jc w:val="both"/>
        <w:rPr>
          <w:sz w:val="22"/>
          <w:szCs w:val="24"/>
          <w:lang w:val="fr-FR"/>
        </w:rPr>
      </w:pPr>
    </w:p>
    <w:p w:rsidR="00DA259E" w:rsidRPr="00CA0FBA" w:rsidRDefault="00DA259E" w:rsidP="006856FE">
      <w:pPr>
        <w:jc w:val="both"/>
        <w:rPr>
          <w:sz w:val="22"/>
          <w:szCs w:val="24"/>
          <w:lang w:val="fr-FR"/>
        </w:rPr>
      </w:pPr>
      <w:r w:rsidRPr="00CA0FBA">
        <w:rPr>
          <w:sz w:val="22"/>
          <w:szCs w:val="24"/>
          <w:lang w:val="fr-FR"/>
        </w:rPr>
        <w:t>Les dépendances mutuelles dans l’OTAN et dans la PSDC ne sont pas ignorées. Bon nombre d’indicateurs (risques, menaces, globalisme, sécurité intérieure) correspondent aux préoccupations de la Stratégie européenne de sécurité de 2003 et sa mise à jour de 2008 ; quand bien même les deux documents ont des statuts très différents et que toute comparaison est sujet à caution. Reste que le Livre blanc 2013 pose les jalons d’un projet difficile : celui de repenser les ambitions et de construire à terme une nouvelle stratégie à l’échelle européenne.</w:t>
      </w:r>
    </w:p>
    <w:p w:rsidR="00DA259E" w:rsidRPr="00CA0FBA" w:rsidRDefault="00DA259E" w:rsidP="006856FE">
      <w:pPr>
        <w:jc w:val="both"/>
        <w:rPr>
          <w:sz w:val="22"/>
          <w:szCs w:val="24"/>
          <w:lang w:val="fr-FR"/>
        </w:rPr>
      </w:pPr>
    </w:p>
    <w:p w:rsidR="00DA259E" w:rsidRPr="00CA0FBA" w:rsidRDefault="00DA259E" w:rsidP="00A955D1">
      <w:pPr>
        <w:jc w:val="both"/>
        <w:rPr>
          <w:sz w:val="22"/>
          <w:szCs w:val="24"/>
          <w:lang w:val="fr-FR"/>
        </w:rPr>
      </w:pPr>
      <w:r w:rsidRPr="00CA0FBA">
        <w:rPr>
          <w:sz w:val="22"/>
          <w:szCs w:val="24"/>
          <w:lang w:val="fr-FR"/>
        </w:rPr>
        <w:t>La relance de la défense européenne est une priorité de la France</w:t>
      </w:r>
      <w:r w:rsidRPr="00CA0FBA">
        <w:rPr>
          <w:rStyle w:val="Appelnotedebasdep"/>
          <w:sz w:val="22"/>
        </w:rPr>
        <w:footnoteReference w:id="84"/>
      </w:r>
      <w:r w:rsidR="00A955D1" w:rsidRPr="00A955D1">
        <w:rPr>
          <w:rStyle w:val="Appelnotedebasdep"/>
          <w:sz w:val="22"/>
          <w:szCs w:val="24"/>
          <w:vertAlign w:val="baseline"/>
          <w:lang w:val="fr-BE"/>
        </w:rPr>
        <w:t>.</w:t>
      </w:r>
      <w:r w:rsidRPr="00CA0FBA">
        <w:rPr>
          <w:rStyle w:val="Appelnotedebasdep"/>
          <w:sz w:val="22"/>
          <w:szCs w:val="24"/>
          <w:lang w:val="fr-FR"/>
        </w:rPr>
        <w:t xml:space="preserve"> </w:t>
      </w:r>
      <w:r w:rsidRPr="00CA0FBA">
        <w:rPr>
          <w:rStyle w:val="Appelnotedebasdep"/>
          <w:sz w:val="22"/>
          <w:szCs w:val="24"/>
          <w:vertAlign w:val="baseline"/>
          <w:lang w:val="fr-FR"/>
        </w:rPr>
        <w:t>Il s’agit d’une recherche autour d’actions autonomes dans des situations où les intérêts européens sont en jeu, sans impliquer les États-Unis, tout en conservant un double engagement, UE et OTAN. Le contexte budgétaire et les menaces dans le voisinage élargi imposent la coopération multinationale vue comme seule solution. La France souhaite amplifier la mutualisation et le partage, tout en mettant en garde sur</w:t>
      </w:r>
      <w:r w:rsidRPr="00CA0FBA">
        <w:rPr>
          <w:rStyle w:val="Appelnotedebasdep"/>
          <w:sz w:val="22"/>
          <w:szCs w:val="24"/>
          <w:lang w:val="fr-FR"/>
        </w:rPr>
        <w:t xml:space="preserve"> </w:t>
      </w:r>
      <w:r w:rsidRPr="00CA0FBA">
        <w:rPr>
          <w:sz w:val="22"/>
          <w:szCs w:val="24"/>
          <w:lang w:val="fr-FR"/>
        </w:rPr>
        <w:t xml:space="preserve">le risque que le développement des capacités de l’OTAN à travers le programme </w:t>
      </w:r>
      <w:r w:rsidRPr="00CA0FBA">
        <w:rPr>
          <w:i/>
          <w:sz w:val="22"/>
          <w:szCs w:val="24"/>
          <w:lang w:val="fr-FR"/>
        </w:rPr>
        <w:t xml:space="preserve">Smart </w:t>
      </w:r>
      <w:proofErr w:type="spellStart"/>
      <w:r w:rsidRPr="00CA0FBA">
        <w:rPr>
          <w:i/>
          <w:sz w:val="22"/>
          <w:szCs w:val="24"/>
          <w:lang w:val="fr-FR"/>
        </w:rPr>
        <w:t>Defence</w:t>
      </w:r>
      <w:proofErr w:type="spellEnd"/>
      <w:r w:rsidRPr="00CA0FBA">
        <w:rPr>
          <w:i/>
          <w:sz w:val="22"/>
          <w:szCs w:val="24"/>
          <w:lang w:val="fr-FR"/>
        </w:rPr>
        <w:t xml:space="preserve"> </w:t>
      </w:r>
      <w:r w:rsidRPr="00CA0FBA">
        <w:rPr>
          <w:sz w:val="22"/>
          <w:szCs w:val="24"/>
          <w:lang w:val="fr-FR"/>
        </w:rPr>
        <w:t>aspire la totalité des moyens qui sont limités</w:t>
      </w:r>
      <w:r w:rsidRPr="00CA0FBA">
        <w:rPr>
          <w:rStyle w:val="Appelnotedebasdep"/>
          <w:sz w:val="22"/>
          <w:szCs w:val="24"/>
          <w:lang w:val="fr-FR"/>
        </w:rPr>
        <w:footnoteReference w:id="85"/>
      </w:r>
      <w:r w:rsidRPr="00CA0FBA">
        <w:rPr>
          <w:sz w:val="22"/>
          <w:szCs w:val="24"/>
          <w:lang w:val="fr-FR"/>
        </w:rPr>
        <w:t xml:space="preserve"> et puisse « rendre sans objet des projets européens »</w:t>
      </w:r>
      <w:r w:rsidRPr="00CA0FBA">
        <w:rPr>
          <w:rStyle w:val="Appelnotedebasdep"/>
          <w:sz w:val="22"/>
          <w:szCs w:val="24"/>
          <w:lang w:val="fr-FR"/>
        </w:rPr>
        <w:footnoteReference w:id="86"/>
      </w:r>
      <w:r w:rsidRPr="00CA0FBA">
        <w:rPr>
          <w:sz w:val="22"/>
          <w:szCs w:val="24"/>
          <w:lang w:val="fr-FR"/>
        </w:rPr>
        <w:t>.</w:t>
      </w:r>
    </w:p>
    <w:p w:rsidR="00DA259E" w:rsidRPr="00CA0FBA" w:rsidRDefault="00DA259E" w:rsidP="00DA259E">
      <w:pPr>
        <w:rPr>
          <w:sz w:val="22"/>
          <w:szCs w:val="24"/>
          <w:lang w:val="fr-FR"/>
        </w:rPr>
      </w:pPr>
    </w:p>
    <w:p w:rsidR="00DA259E" w:rsidRPr="00CA0FBA" w:rsidRDefault="00DA259E" w:rsidP="00A955D1">
      <w:pPr>
        <w:jc w:val="both"/>
        <w:rPr>
          <w:sz w:val="22"/>
          <w:szCs w:val="24"/>
          <w:lang w:val="fr-FR"/>
        </w:rPr>
      </w:pPr>
      <w:r w:rsidRPr="00CA0FBA">
        <w:rPr>
          <w:sz w:val="22"/>
          <w:szCs w:val="24"/>
          <w:lang w:val="fr-FR"/>
        </w:rPr>
        <w:t xml:space="preserve">Sur fond de crise économique, le Livre blanc 2013 </w:t>
      </w:r>
      <w:r w:rsidR="00A955D1">
        <w:rPr>
          <w:sz w:val="22"/>
          <w:szCs w:val="24"/>
          <w:lang w:val="fr-BE"/>
        </w:rPr>
        <w:t>-</w:t>
      </w:r>
      <w:r w:rsidRPr="00CA0FBA">
        <w:rPr>
          <w:sz w:val="22"/>
          <w:szCs w:val="24"/>
          <w:lang w:val="fr-FR"/>
        </w:rPr>
        <w:t xml:space="preserve"> prudent dans sa formulation puisque paru avant la Programmation militaire pluriannuelle (qui, elle, sera fragilisée par la prise en compte de critères budgétaires restrictifs)</w:t>
      </w:r>
      <w:r w:rsidRPr="00CA0FBA">
        <w:rPr>
          <w:rStyle w:val="Appelnotedebasdep"/>
          <w:sz w:val="22"/>
          <w:szCs w:val="24"/>
          <w:lang w:val="fr-BE"/>
        </w:rPr>
        <w:footnoteReference w:id="87"/>
      </w:r>
      <w:r w:rsidRPr="00CA0FBA">
        <w:rPr>
          <w:sz w:val="22"/>
          <w:szCs w:val="24"/>
          <w:lang w:val="fr-FR"/>
        </w:rPr>
        <w:t xml:space="preserve"> </w:t>
      </w:r>
      <w:r w:rsidR="00A955D1">
        <w:rPr>
          <w:sz w:val="22"/>
          <w:szCs w:val="24"/>
          <w:lang w:val="fr-BE"/>
        </w:rPr>
        <w:t>-,</w:t>
      </w:r>
      <w:r w:rsidRPr="00CA0FBA">
        <w:rPr>
          <w:sz w:val="22"/>
          <w:szCs w:val="24"/>
          <w:lang w:val="fr-FR"/>
        </w:rPr>
        <w:t xml:space="preserve"> donne néanmoins à voir une volonté de donner la PSDC un nouvel élan à partir de critères moins « théologiques » que pragmatiques, sans néanmoins effacer l’idée d’une réflexion à mener par la suite sur l’avenir de cette politique sectorielle de l’UE au profit de la politique étrangère dite commune.</w:t>
      </w:r>
    </w:p>
    <w:p w:rsidR="00DA259E" w:rsidRPr="00CA0FBA" w:rsidRDefault="00DA259E" w:rsidP="00DA259E">
      <w:pPr>
        <w:rPr>
          <w:sz w:val="22"/>
          <w:szCs w:val="24"/>
          <w:lang w:val="fr-FR"/>
        </w:rPr>
      </w:pPr>
    </w:p>
    <w:p w:rsidR="00DA259E" w:rsidRPr="00CA0FBA" w:rsidRDefault="00DA259E" w:rsidP="00DA259E">
      <w:pPr>
        <w:rPr>
          <w:sz w:val="22"/>
          <w:szCs w:val="24"/>
          <w:lang w:val="fr-FR"/>
        </w:rPr>
      </w:pPr>
    </w:p>
    <w:p w:rsidR="00DA259E" w:rsidRPr="00CA0FBA" w:rsidRDefault="00DA259E" w:rsidP="00DA259E">
      <w:pPr>
        <w:rPr>
          <w:sz w:val="22"/>
          <w:szCs w:val="24"/>
          <w:lang w:val="fr-FR"/>
        </w:rPr>
      </w:pPr>
    </w:p>
    <w:p w:rsidR="006856FE" w:rsidRDefault="006856FE">
      <w:pPr>
        <w:rPr>
          <w:szCs w:val="24"/>
          <w:lang w:val="fr-FR"/>
        </w:rPr>
      </w:pPr>
      <w:r>
        <w:rPr>
          <w:szCs w:val="24"/>
          <w:lang w:val="fr-FR"/>
        </w:rPr>
        <w:br w:type="page"/>
      </w:r>
    </w:p>
    <w:p w:rsidR="000449D5" w:rsidRDefault="000449D5" w:rsidP="000449D5">
      <w:pPr>
        <w:rPr>
          <w:szCs w:val="24"/>
          <w:lang w:val="fr-FR"/>
        </w:rPr>
      </w:pPr>
      <w:r>
        <w:rPr>
          <w:b/>
          <w:sz w:val="28"/>
          <w:szCs w:val="28"/>
          <w:lang w:val="fr-FR"/>
        </w:rPr>
        <w:lastRenderedPageBreak/>
        <w:t xml:space="preserve">Recommandations </w:t>
      </w:r>
    </w:p>
    <w:p w:rsidR="000449D5" w:rsidRDefault="000449D5" w:rsidP="000449D5">
      <w:pPr>
        <w:rPr>
          <w:szCs w:val="24"/>
          <w:lang w:val="fr-FR"/>
        </w:rPr>
      </w:pPr>
    </w:p>
    <w:p w:rsidR="000449D5" w:rsidRPr="00CA0FBA"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Constatant, à la lecture du Livre blanc 2013, la volonté française de donner priorité à la sécurité du voisinage de l’Europe pour se préserver des crises y naissant, tout en y associant les partenaires européens ; le partage des zones pouvant être considéré comme une double réponse : d’une part, le désengagement partiel américain d’Europe et consécutivement la prise de responsabilité par les Européens « dans leur zone géographique »  ; d’autre part, la recherche de marges de manœuvre budgétaires en évitant les interventions lointaines ;</w:t>
      </w:r>
    </w:p>
    <w:p w:rsidR="000449D5" w:rsidRPr="00CA0FBA"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Soulignant que la France a pris en compte l’importance du « </w:t>
      </w:r>
      <w:r w:rsidRPr="00CA0FBA">
        <w:rPr>
          <w:rFonts w:ascii="Times New Roman" w:hAnsi="Times New Roman"/>
          <w:i/>
          <w:sz w:val="22"/>
          <w:szCs w:val="20"/>
          <w:lang w:val="fr-FR"/>
        </w:rPr>
        <w:t>Pooling and Sharing</w:t>
      </w:r>
      <w:r w:rsidRPr="00CA0FBA">
        <w:rPr>
          <w:rFonts w:ascii="Times New Roman" w:hAnsi="Times New Roman"/>
          <w:sz w:val="22"/>
          <w:szCs w:val="20"/>
          <w:lang w:val="fr-FR"/>
        </w:rPr>
        <w:t> » et de la « </w:t>
      </w:r>
      <w:r w:rsidRPr="00CA0FBA">
        <w:rPr>
          <w:rFonts w:ascii="Times New Roman" w:hAnsi="Times New Roman"/>
          <w:i/>
          <w:sz w:val="22"/>
          <w:szCs w:val="20"/>
          <w:lang w:val="fr-FR"/>
        </w:rPr>
        <w:t xml:space="preserve">Smart </w:t>
      </w:r>
      <w:proofErr w:type="spellStart"/>
      <w:r w:rsidRPr="00CA0FBA">
        <w:rPr>
          <w:rFonts w:ascii="Times New Roman" w:hAnsi="Times New Roman"/>
          <w:i/>
          <w:sz w:val="22"/>
          <w:szCs w:val="20"/>
          <w:lang w:val="fr-FR"/>
        </w:rPr>
        <w:t>Defence</w:t>
      </w:r>
      <w:proofErr w:type="spellEnd"/>
      <w:r w:rsidRPr="00CA0FBA">
        <w:rPr>
          <w:rFonts w:ascii="Times New Roman" w:hAnsi="Times New Roman"/>
          <w:sz w:val="22"/>
          <w:szCs w:val="20"/>
          <w:lang w:val="fr-FR"/>
        </w:rPr>
        <w:t> » mais que la vraie question pour le Premier ministre, Jean-François Ayrault, c’est la défense européenne</w:t>
      </w:r>
      <w:r w:rsidRPr="00CA0FBA">
        <w:rPr>
          <w:rFonts w:ascii="Times New Roman" w:hAnsi="Times New Roman"/>
          <w:i/>
          <w:sz w:val="22"/>
          <w:szCs w:val="20"/>
          <w:lang w:val="fr-FR"/>
        </w:rPr>
        <w:t xml:space="preserve"> </w:t>
      </w:r>
      <w:r w:rsidRPr="00CA0FBA">
        <w:rPr>
          <w:rFonts w:ascii="Times New Roman" w:hAnsi="Times New Roman"/>
          <w:sz w:val="22"/>
          <w:szCs w:val="20"/>
          <w:lang w:val="fr-FR"/>
        </w:rPr>
        <w:t>« </w:t>
      </w:r>
      <w:r w:rsidRPr="00CA0FBA">
        <w:rPr>
          <w:rFonts w:ascii="Times New Roman" w:hAnsi="Times New Roman"/>
          <w:i/>
          <w:sz w:val="22"/>
          <w:szCs w:val="20"/>
          <w:lang w:val="fr-FR"/>
        </w:rPr>
        <w:t>qui a pris trop de retard et qu’il n’est pas juste que la Grande-Bretagne et la France assument seules tout l’effort </w:t>
      </w:r>
      <w:r w:rsidRPr="00CA0FBA">
        <w:rPr>
          <w:rFonts w:ascii="Times New Roman" w:hAnsi="Times New Roman"/>
          <w:sz w:val="22"/>
          <w:szCs w:val="20"/>
          <w:lang w:val="fr-FR"/>
        </w:rPr>
        <w:t>»</w:t>
      </w:r>
      <w:r w:rsidRPr="00CA0FBA">
        <w:rPr>
          <w:rStyle w:val="Appelnotedebasdep"/>
          <w:rFonts w:ascii="Times New Roman" w:hAnsi="Times New Roman"/>
          <w:sz w:val="22"/>
          <w:szCs w:val="20"/>
        </w:rPr>
        <w:footnoteReference w:id="88"/>
      </w:r>
      <w:r w:rsidRPr="00CA0FBA">
        <w:rPr>
          <w:rFonts w:ascii="Times New Roman" w:hAnsi="Times New Roman"/>
          <w:sz w:val="22"/>
          <w:szCs w:val="20"/>
          <w:lang w:val="fr-FR"/>
        </w:rPr>
        <w:t> ;</w:t>
      </w:r>
    </w:p>
    <w:p w:rsidR="000449D5" w:rsidRPr="00CA0FBA"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Estimant que le Livre blanc 2013 et les commentaires associés en aval ont mis en avant le risque d’un déclassement stratégique européen</w:t>
      </w:r>
      <w:r w:rsidRPr="00CA0FBA">
        <w:rPr>
          <w:rStyle w:val="Appelnotedebasdep"/>
          <w:rFonts w:ascii="Times New Roman" w:hAnsi="Times New Roman"/>
          <w:sz w:val="22"/>
          <w:szCs w:val="20"/>
        </w:rPr>
        <w:footnoteReference w:id="89"/>
      </w:r>
      <w:r w:rsidRPr="00CA0FBA">
        <w:rPr>
          <w:rFonts w:ascii="Times New Roman" w:hAnsi="Times New Roman"/>
          <w:sz w:val="22"/>
          <w:szCs w:val="20"/>
          <w:lang w:val="fr-FR"/>
        </w:rPr>
        <w:t> ; y compris autour du maintien de la BITD</w:t>
      </w:r>
      <w:r w:rsidRPr="00CA0FBA">
        <w:rPr>
          <w:rStyle w:val="Appelnotedebasdep"/>
          <w:rFonts w:ascii="Times New Roman" w:hAnsi="Times New Roman"/>
          <w:sz w:val="22"/>
          <w:szCs w:val="20"/>
        </w:rPr>
        <w:footnoteReference w:id="90"/>
      </w:r>
      <w:r w:rsidRPr="00CA0FBA">
        <w:rPr>
          <w:rFonts w:ascii="Times New Roman" w:hAnsi="Times New Roman"/>
          <w:sz w:val="22"/>
          <w:szCs w:val="20"/>
          <w:lang w:val="fr-FR"/>
        </w:rPr>
        <w:t> ;</w:t>
      </w:r>
    </w:p>
    <w:p w:rsidR="000449D5" w:rsidRPr="00CA0FBA"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Considérant toute  l’importance du traité franco-britannique de Lancaster House sachant que celui-ci n’est pas exclusif de la participation d’autres partenaires à des projets décidés en commun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 xml:space="preserve">Relevant que la France va profiter du Conseil européen de décembre 2013 spécifiquement consacré aux questions de défense pour tenter de relancer la dynamique européenne et concrétiser autant que faire se peut certains chapitres de son Livre blanc 2013 dans les limites </w:t>
      </w:r>
      <w:r>
        <w:rPr>
          <w:rFonts w:ascii="Times New Roman" w:hAnsi="Times New Roman"/>
          <w:sz w:val="22"/>
          <w:szCs w:val="20"/>
          <w:lang w:val="fr-FR"/>
        </w:rPr>
        <w:t>de</w:t>
      </w:r>
      <w:r w:rsidRPr="00CA0FBA">
        <w:rPr>
          <w:rFonts w:ascii="Times New Roman" w:hAnsi="Times New Roman"/>
          <w:sz w:val="22"/>
          <w:szCs w:val="20"/>
          <w:lang w:val="fr-FR"/>
        </w:rPr>
        <w:t xml:space="preserve"> sa nouvelle programmation pluriannuelle en matière d’armements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Considérant que la France semble vouloir sortir des réflexions « idéologiques » sur la sécurité-défense européenne et probablement aussi de l’idée dans le court terme de rédaction d’un nouveau Concept stratégique</w:t>
      </w:r>
      <w:r w:rsidRPr="00CA0FBA">
        <w:rPr>
          <w:rStyle w:val="Appelnotedebasdep"/>
          <w:rFonts w:ascii="Times New Roman" w:hAnsi="Times New Roman"/>
          <w:sz w:val="22"/>
          <w:szCs w:val="20"/>
        </w:rPr>
        <w:footnoteReference w:id="91"/>
      </w:r>
      <w:r w:rsidRPr="00D16741">
        <w:rPr>
          <w:rFonts w:ascii="Times New Roman" w:hAnsi="Times New Roman"/>
          <w:sz w:val="22"/>
          <w:szCs w:val="20"/>
          <w:lang w:val="fr-FR"/>
        </w:rPr>
        <w:t>, au profit de décisions pragmatiques et concrètes</w:t>
      </w:r>
      <w:r w:rsidRPr="00CA0FBA">
        <w:rPr>
          <w:rStyle w:val="Appelnotedebasdep"/>
          <w:rFonts w:ascii="Times New Roman" w:hAnsi="Times New Roman"/>
          <w:sz w:val="22"/>
          <w:szCs w:val="20"/>
        </w:rPr>
        <w:footnoteReference w:id="92"/>
      </w:r>
      <w:r w:rsidRPr="00D16741">
        <w:rPr>
          <w:rFonts w:ascii="Times New Roman" w:hAnsi="Times New Roman"/>
          <w:sz w:val="22"/>
          <w:szCs w:val="20"/>
          <w:lang w:val="fr-FR"/>
        </w:rPr>
        <w:t xml:space="preserve"> en matière de coopérations</w:t>
      </w:r>
      <w:r w:rsidRPr="00D16741">
        <w:rPr>
          <w:rFonts w:ascii="Times New Roman" w:hAnsi="Times New Roman"/>
          <w:sz w:val="28"/>
          <w:szCs w:val="24"/>
          <w:lang w:val="fr-FR"/>
        </w:rPr>
        <w:t xml:space="preserve"> </w:t>
      </w:r>
      <w:r w:rsidRPr="00D16741">
        <w:rPr>
          <w:rFonts w:ascii="Times New Roman" w:hAnsi="Times New Roman"/>
          <w:sz w:val="22"/>
          <w:szCs w:val="20"/>
          <w:lang w:val="fr-FR"/>
        </w:rPr>
        <w:t>capacitaires via des formats restreints, associant quelques États européens mais « qui auront vocation à s’ouvrir progressivement à d’autres partenaires »</w:t>
      </w:r>
      <w:r w:rsidRPr="00CA0FBA">
        <w:rPr>
          <w:rStyle w:val="Appelnotedebasdep"/>
          <w:rFonts w:ascii="Times New Roman" w:hAnsi="Times New Roman"/>
          <w:sz w:val="22"/>
          <w:szCs w:val="20"/>
        </w:rPr>
        <w:footnoteReference w:id="93"/>
      </w:r>
      <w:r w:rsidRPr="00D16741">
        <w:rPr>
          <w:rFonts w:ascii="Times New Roman" w:hAnsi="Times New Roman"/>
          <w:sz w:val="22"/>
          <w:szCs w:val="20"/>
          <w:lang w:val="fr-FR"/>
        </w:rPr>
        <w:t xml:space="preserve">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Considérant cependant que l’empilement brique par brique des éléments constitutifs de la PESD, puis de la PSDC, de l’opératoire à l’identitaire</w:t>
      </w:r>
      <w:r w:rsidRPr="00CA0FBA">
        <w:rPr>
          <w:rStyle w:val="Appelnotedebasdep"/>
          <w:rFonts w:ascii="Times New Roman" w:hAnsi="Times New Roman"/>
          <w:sz w:val="22"/>
          <w:szCs w:val="20"/>
        </w:rPr>
        <w:footnoteReference w:id="94"/>
      </w:r>
      <w:r w:rsidRPr="00D16741">
        <w:rPr>
          <w:rFonts w:ascii="Times New Roman" w:hAnsi="Times New Roman"/>
          <w:sz w:val="22"/>
          <w:szCs w:val="20"/>
          <w:lang w:val="fr-FR"/>
        </w:rPr>
        <w:t>, pose actuellement la question de l’absence de vision stratégique et le manque de projet politique européen, y compris en matière d’orientation  générale sur l’avenir de la PSDC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lastRenderedPageBreak/>
        <w:t>Estimant l’importance à accorder aux avancées déjà réalisées dans le cadre de la PESD/PSDC mais aussi et surtout des domaines de coopération bi- et</w:t>
      </w:r>
      <w:r w:rsidRPr="00D16741">
        <w:rPr>
          <w:rFonts w:ascii="Times New Roman" w:hAnsi="Times New Roman"/>
          <w:sz w:val="28"/>
          <w:szCs w:val="24"/>
          <w:lang w:val="fr-FR"/>
        </w:rPr>
        <w:t xml:space="preserve"> </w:t>
      </w:r>
      <w:r w:rsidRPr="00D16741">
        <w:rPr>
          <w:rFonts w:ascii="Times New Roman" w:hAnsi="Times New Roman"/>
          <w:sz w:val="22"/>
          <w:szCs w:val="20"/>
          <w:lang w:val="fr-FR"/>
        </w:rPr>
        <w:t>multilatérale</w:t>
      </w:r>
      <w:r w:rsidRPr="00CA0FBA">
        <w:rPr>
          <w:rStyle w:val="Appelnotedebasdep"/>
          <w:rFonts w:ascii="Times New Roman" w:hAnsi="Times New Roman"/>
          <w:sz w:val="22"/>
          <w:szCs w:val="20"/>
        </w:rPr>
        <w:footnoteReference w:id="95"/>
      </w:r>
      <w:r w:rsidRPr="00D16741">
        <w:rPr>
          <w:rFonts w:ascii="Times New Roman" w:hAnsi="Times New Roman"/>
          <w:sz w:val="22"/>
          <w:szCs w:val="20"/>
          <w:lang w:val="fr-FR"/>
        </w:rPr>
        <w:t xml:space="preserve"> qui peuvent servir d’aiguillon, de stimulant, de « prototype » dans le domaine concerné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 xml:space="preserve"> Considérant que l’Hexagone tente à la fois de créer/renforcer un pilier européen au sein de l’Alliance atlantique et de renforcer la coordination intra-européenne en amont hors des instances de l’OTAN, parallèlement au soutien à donner à une maturation PSDC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Relevant que l’Afrique demeure un continent d’intérêt majeur pour la France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Sachant combien la question de la perte de souveraineté en matière de mutualisation et de partage est plus difficile à assumer</w:t>
      </w:r>
      <w:r w:rsidRPr="00CA0FBA">
        <w:rPr>
          <w:rStyle w:val="Appelnotedebasdep"/>
          <w:rFonts w:ascii="Times New Roman" w:hAnsi="Times New Roman"/>
          <w:sz w:val="22"/>
          <w:szCs w:val="20"/>
        </w:rPr>
        <w:footnoteReference w:id="96"/>
      </w:r>
      <w:r w:rsidRPr="00D16741">
        <w:rPr>
          <w:rFonts w:ascii="Times New Roman" w:hAnsi="Times New Roman"/>
          <w:sz w:val="22"/>
          <w:szCs w:val="20"/>
          <w:lang w:val="fr-FR"/>
        </w:rPr>
        <w:t xml:space="preserve"> pour les « grands » pays européens comme la France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Relevant que le Livre blanc français 2013 a été écrit aussi pour ouvrir un vrai dialogue avec les partenaires, afin que les cultures historiques différentes s’additionnent et permettent à l’Union européenne d’agir dans une approche globale et sur des principes et valeurs (Jean-Marie Guéhenno)</w:t>
      </w:r>
      <w:r w:rsidRPr="00CA0FBA">
        <w:rPr>
          <w:rStyle w:val="Appelnotedebasdep"/>
          <w:rFonts w:ascii="Times New Roman" w:hAnsi="Times New Roman"/>
          <w:sz w:val="22"/>
          <w:szCs w:val="20"/>
        </w:rPr>
        <w:footnoteReference w:id="97"/>
      </w:r>
      <w:r w:rsidRPr="00D16741">
        <w:rPr>
          <w:rFonts w:ascii="Times New Roman" w:hAnsi="Times New Roman"/>
          <w:sz w:val="22"/>
          <w:szCs w:val="20"/>
          <w:lang w:val="fr-FR"/>
        </w:rPr>
        <w:t> ;</w:t>
      </w:r>
    </w:p>
    <w:p w:rsidR="000449D5"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Relevant qu’il n’existe plus actuellement - comme par le passé - de grand projet militaire structurant et nouveau en coopération européenne, à l’instar du programme Airbus A-400M ;</w:t>
      </w:r>
    </w:p>
    <w:p w:rsidR="000449D5" w:rsidRPr="00D16741" w:rsidRDefault="000449D5" w:rsidP="000449D5">
      <w:pPr>
        <w:pStyle w:val="Paragraphedeliste"/>
        <w:numPr>
          <w:ilvl w:val="0"/>
          <w:numId w:val="22"/>
        </w:numPr>
        <w:suppressAutoHyphens/>
        <w:spacing w:after="0"/>
        <w:contextualSpacing w:val="0"/>
        <w:rPr>
          <w:rFonts w:ascii="Times New Roman" w:hAnsi="Times New Roman"/>
          <w:sz w:val="22"/>
          <w:szCs w:val="20"/>
          <w:lang w:val="fr-FR"/>
        </w:rPr>
      </w:pPr>
      <w:r w:rsidRPr="00D16741">
        <w:rPr>
          <w:rFonts w:ascii="Times New Roman" w:hAnsi="Times New Roman"/>
          <w:sz w:val="22"/>
          <w:szCs w:val="20"/>
          <w:lang w:val="fr-FR"/>
        </w:rPr>
        <w:t>Prenant en compte la note de politique générale du ministère belge de la Défense (20  décembre 2012), les contenus des auditions de la Commission de la Défense nationale de la Chambre des Représentants sur la coopération militaire dans le cadre du Benelux et européen (2012), de l’Accord de  gouvernement (1</w:t>
      </w:r>
      <w:r w:rsidRPr="00D16741">
        <w:rPr>
          <w:rFonts w:ascii="Times New Roman" w:hAnsi="Times New Roman"/>
          <w:sz w:val="22"/>
          <w:szCs w:val="20"/>
          <w:vertAlign w:val="superscript"/>
          <w:lang w:val="fr-FR"/>
        </w:rPr>
        <w:t>er</w:t>
      </w:r>
      <w:r w:rsidRPr="00D16741">
        <w:rPr>
          <w:rFonts w:ascii="Times New Roman" w:hAnsi="Times New Roman"/>
          <w:sz w:val="22"/>
          <w:szCs w:val="20"/>
          <w:lang w:val="fr-FR"/>
        </w:rPr>
        <w:t xml:space="preserve"> décembre 2011), de la proposition de résolution de la Commission de la Défense nationale de la Chambre des Représentants relative à l’avenir de l’armée belge dans un cadre européen (26 avril 2013)</w:t>
      </w:r>
      <w:r w:rsidRPr="00CA0FBA">
        <w:rPr>
          <w:rStyle w:val="Appelnotedebasdep"/>
          <w:rFonts w:ascii="Times New Roman" w:hAnsi="Times New Roman"/>
          <w:sz w:val="22"/>
          <w:szCs w:val="20"/>
        </w:rPr>
        <w:footnoteReference w:id="98"/>
      </w:r>
      <w:r w:rsidRPr="00D16741">
        <w:rPr>
          <w:rFonts w:ascii="Times New Roman" w:hAnsi="Times New Roman"/>
          <w:sz w:val="22"/>
          <w:szCs w:val="20"/>
          <w:lang w:val="fr-FR"/>
        </w:rPr>
        <w:t xml:space="preserve"> et du discours du ministre De Crem « Sécurité et Défense année 2013 : paradigmes changeants, nouveaux défis » (IRSD, 12 juin 2013)…</w:t>
      </w:r>
    </w:p>
    <w:p w:rsidR="000449D5" w:rsidRPr="00CA0FBA" w:rsidRDefault="000449D5" w:rsidP="000449D5">
      <w:pPr>
        <w:pStyle w:val="Paragraphedeliste"/>
        <w:rPr>
          <w:rFonts w:ascii="Times New Roman" w:hAnsi="Times New Roman"/>
          <w:sz w:val="22"/>
          <w:szCs w:val="20"/>
          <w:lang w:val="fr-FR"/>
        </w:rPr>
      </w:pPr>
    </w:p>
    <w:p w:rsidR="000449D5" w:rsidRPr="00CA0FBA" w:rsidRDefault="000449D5" w:rsidP="000449D5">
      <w:pPr>
        <w:rPr>
          <w:b/>
          <w:sz w:val="32"/>
          <w:szCs w:val="28"/>
          <w:lang w:val="fr-FR"/>
        </w:rPr>
      </w:pPr>
    </w:p>
    <w:p w:rsidR="000449D5" w:rsidRPr="00CA0FBA" w:rsidRDefault="000449D5" w:rsidP="000449D5">
      <w:pPr>
        <w:rPr>
          <w:sz w:val="22"/>
          <w:szCs w:val="24"/>
          <w:lang w:val="fr-FR"/>
        </w:rPr>
      </w:pPr>
      <w:r w:rsidRPr="00CA0FBA">
        <w:rPr>
          <w:sz w:val="22"/>
          <w:szCs w:val="24"/>
          <w:lang w:val="fr-FR"/>
        </w:rPr>
        <w:t>….nous pouvons recommander, dans le champ belge :</w:t>
      </w:r>
    </w:p>
    <w:p w:rsidR="000449D5" w:rsidRPr="00CA0FBA" w:rsidRDefault="000449D5" w:rsidP="000449D5">
      <w:pPr>
        <w:rPr>
          <w:sz w:val="22"/>
          <w:szCs w:val="24"/>
          <w:lang w:val="fr-FR"/>
        </w:rPr>
      </w:pPr>
    </w:p>
    <w:p w:rsidR="000449D5" w:rsidRPr="00CA0FBA" w:rsidRDefault="000449D5" w:rsidP="000449D5">
      <w:pPr>
        <w:pStyle w:val="Paragraphedeliste"/>
        <w:numPr>
          <w:ilvl w:val="0"/>
          <w:numId w:val="19"/>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de prendre en compte le principe de réalité selon lequel l’avenir de la sécurité-défense européenne passe encore et toujours par les « capitales qui comptent »</w:t>
      </w:r>
      <w:r w:rsidRPr="00CA0FBA">
        <w:rPr>
          <w:rStyle w:val="Appelnotedebasdep"/>
          <w:rFonts w:ascii="Times New Roman" w:hAnsi="Times New Roman"/>
          <w:sz w:val="22"/>
          <w:szCs w:val="20"/>
        </w:rPr>
        <w:footnoteReference w:id="99"/>
      </w:r>
      <w:r w:rsidRPr="00CA0FBA">
        <w:rPr>
          <w:rFonts w:ascii="Times New Roman" w:hAnsi="Times New Roman"/>
          <w:sz w:val="22"/>
          <w:szCs w:val="20"/>
          <w:lang w:val="fr-FR"/>
        </w:rPr>
        <w:t xml:space="preserve"> et que c’est dans une relation équilibrée avec </w:t>
      </w:r>
      <w:r>
        <w:rPr>
          <w:rFonts w:ascii="Times New Roman" w:hAnsi="Times New Roman"/>
          <w:sz w:val="22"/>
          <w:szCs w:val="20"/>
          <w:lang w:val="fr-FR"/>
        </w:rPr>
        <w:t xml:space="preserve">ces trois « grands » européens </w:t>
      </w:r>
      <w:r w:rsidRPr="00CA0FBA">
        <w:rPr>
          <w:rFonts w:ascii="Times New Roman" w:hAnsi="Times New Roman"/>
          <w:sz w:val="22"/>
          <w:szCs w:val="20"/>
          <w:lang w:val="fr-FR"/>
        </w:rPr>
        <w:t xml:space="preserve"> que la Belgique peut s’y retrouver et coopérer afin, au final, d’être un soutien à une dynamique nouvelle ou être un maillon dans la recherche d’un</w:t>
      </w:r>
      <w:r w:rsidRPr="00CA0FBA">
        <w:rPr>
          <w:rFonts w:ascii="Times New Roman" w:hAnsi="Times New Roman"/>
          <w:iCs/>
          <w:sz w:val="22"/>
          <w:szCs w:val="20"/>
          <w:lang w:val="fr-FR"/>
        </w:rPr>
        <w:t xml:space="preserve"> effet d’entraînement collectif sur l’ensemble du corpus</w:t>
      </w:r>
      <w:r w:rsidRPr="00CA0FBA">
        <w:rPr>
          <w:rFonts w:ascii="Times New Roman" w:hAnsi="Times New Roman"/>
          <w:sz w:val="22"/>
          <w:szCs w:val="20"/>
          <w:lang w:val="fr-FR"/>
        </w:rPr>
        <w:t> européen. Il y va également de la prise en compte de l’importance de l’axe franco-britannique</w:t>
      </w:r>
      <w:r>
        <w:rPr>
          <w:rFonts w:ascii="Times New Roman" w:hAnsi="Times New Roman"/>
          <w:sz w:val="22"/>
          <w:szCs w:val="20"/>
          <w:lang w:val="fr-FR"/>
        </w:rPr>
        <w:t xml:space="preserve"> en matière capacitaire, de la </w:t>
      </w:r>
      <w:r w:rsidRPr="00CA0FBA">
        <w:rPr>
          <w:rFonts w:ascii="Times New Roman" w:hAnsi="Times New Roman"/>
          <w:sz w:val="22"/>
          <w:szCs w:val="20"/>
          <w:lang w:val="fr-FR"/>
        </w:rPr>
        <w:t>Déclaration du 15 novembre 2012 des min</w:t>
      </w:r>
      <w:r>
        <w:rPr>
          <w:rFonts w:ascii="Times New Roman" w:hAnsi="Times New Roman"/>
          <w:sz w:val="22"/>
          <w:szCs w:val="20"/>
          <w:lang w:val="fr-FR"/>
        </w:rPr>
        <w:t xml:space="preserve">istres des Affaires étrangères </w:t>
      </w:r>
      <w:r w:rsidRPr="00CA0FBA">
        <w:rPr>
          <w:rFonts w:ascii="Times New Roman" w:hAnsi="Times New Roman"/>
          <w:sz w:val="22"/>
          <w:szCs w:val="20"/>
          <w:lang w:val="fr-FR"/>
        </w:rPr>
        <w:t xml:space="preserve">et de la Défense d’Allemagne, d’Espagne, de France, d’Italie et de Pologne. </w:t>
      </w:r>
      <w:r>
        <w:rPr>
          <w:rFonts w:ascii="Times New Roman" w:hAnsi="Times New Roman"/>
          <w:sz w:val="22"/>
          <w:szCs w:val="20"/>
          <w:lang w:val="fr-FR"/>
        </w:rPr>
        <w:t>Dans ce cadre, la coopération béné</w:t>
      </w:r>
      <w:r w:rsidRPr="00CA0FBA">
        <w:rPr>
          <w:rFonts w:ascii="Times New Roman" w:hAnsi="Times New Roman"/>
          <w:sz w:val="22"/>
          <w:szCs w:val="20"/>
          <w:lang w:val="fr-FR"/>
        </w:rPr>
        <w:t xml:space="preserve">luxienne est un modèle sans être </w:t>
      </w:r>
      <w:r>
        <w:rPr>
          <w:rFonts w:ascii="Times New Roman" w:hAnsi="Times New Roman"/>
          <w:sz w:val="22"/>
          <w:szCs w:val="20"/>
          <w:lang w:val="fr-FR"/>
        </w:rPr>
        <w:t xml:space="preserve">un </w:t>
      </w:r>
      <w:r w:rsidRPr="00CA0FBA">
        <w:rPr>
          <w:rFonts w:ascii="Times New Roman" w:hAnsi="Times New Roman"/>
          <w:sz w:val="22"/>
          <w:szCs w:val="20"/>
          <w:lang w:val="fr-FR"/>
        </w:rPr>
        <w:lastRenderedPageBreak/>
        <w:t>absolu</w:t>
      </w:r>
      <w:r w:rsidRPr="00CA0FBA">
        <w:rPr>
          <w:rStyle w:val="Appelnotedebasdep"/>
          <w:rFonts w:ascii="Times New Roman" w:hAnsi="Times New Roman"/>
          <w:sz w:val="22"/>
          <w:szCs w:val="20"/>
        </w:rPr>
        <w:footnoteReference w:id="100"/>
      </w:r>
      <w:r w:rsidRPr="00CA0FBA">
        <w:rPr>
          <w:rFonts w:ascii="Times New Roman" w:hAnsi="Times New Roman"/>
          <w:sz w:val="22"/>
          <w:szCs w:val="20"/>
          <w:lang w:val="fr-FR"/>
        </w:rPr>
        <w:t> et un jeu bilatéral entre les « Grands » reste un moindre mal avant d’imaginer un trio harmonieux</w:t>
      </w:r>
      <w:r w:rsidRPr="00CA0FBA">
        <w:rPr>
          <w:rStyle w:val="Appelnotedebasdep"/>
          <w:rFonts w:ascii="Times New Roman" w:hAnsi="Times New Roman"/>
          <w:sz w:val="22"/>
          <w:szCs w:val="20"/>
        </w:rPr>
        <w:footnoteReference w:id="101"/>
      </w:r>
      <w:r w:rsidRPr="00CA0FBA">
        <w:rPr>
          <w:rFonts w:ascii="Times New Roman" w:hAnsi="Times New Roman"/>
          <w:sz w:val="22"/>
          <w:szCs w:val="20"/>
          <w:lang w:val="fr-FR"/>
        </w:rPr>
        <w:t xml:space="preserve"> ; </w:t>
      </w:r>
    </w:p>
    <w:p w:rsidR="000449D5" w:rsidRPr="00CA0FBA" w:rsidRDefault="000449D5" w:rsidP="000449D5">
      <w:pPr>
        <w:pStyle w:val="Paragraphedeliste"/>
        <w:ind w:left="644"/>
        <w:rPr>
          <w:rFonts w:ascii="Times New Roman" w:hAnsi="Times New Roman"/>
          <w:sz w:val="22"/>
          <w:szCs w:val="20"/>
          <w:lang w:val="fr-FR"/>
        </w:rPr>
      </w:pPr>
    </w:p>
    <w:p w:rsidR="000449D5" w:rsidRPr="00CA0FBA" w:rsidRDefault="000449D5" w:rsidP="000449D5">
      <w:pPr>
        <w:pStyle w:val="Paragraphedeliste"/>
        <w:numPr>
          <w:ilvl w:val="0"/>
          <w:numId w:val="19"/>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de fixer de manière motivée des balises pour retrouver l’esprit « du groupe des Quatre »</w:t>
      </w:r>
      <w:r w:rsidRPr="00CA0FBA">
        <w:rPr>
          <w:rStyle w:val="Appelnotedebasdep"/>
          <w:rFonts w:ascii="Times New Roman" w:hAnsi="Times New Roman"/>
          <w:sz w:val="22"/>
          <w:szCs w:val="20"/>
        </w:rPr>
        <w:footnoteReference w:id="102"/>
      </w:r>
      <w:r w:rsidRPr="00CA0FBA">
        <w:rPr>
          <w:rFonts w:ascii="Times New Roman" w:hAnsi="Times New Roman"/>
          <w:sz w:val="22"/>
          <w:szCs w:val="20"/>
          <w:lang w:val="fr-FR"/>
        </w:rPr>
        <w:t xml:space="preserve"> et de proposer avec quelques capitales « stratégiques » une coopération autour des niches que le royaume de Belgique s’estime en capacité « d’offrir » ; y compris les enseignements à tirer des programmes principaux de coopération des partenaires européens en général et de la France en particulier, dont une possible implication spécifique à la FIRI française. Cette démarche pourrait impliquer au préalable la création d’un tableau commenté des programmes de coopération belge sur le modèle des travaux parlementaires français</w:t>
      </w:r>
      <w:r w:rsidRPr="00CA0FBA">
        <w:rPr>
          <w:rStyle w:val="Appelnotedebasdep"/>
          <w:rFonts w:ascii="Times New Roman" w:hAnsi="Times New Roman"/>
          <w:sz w:val="22"/>
          <w:szCs w:val="20"/>
        </w:rPr>
        <w:footnoteReference w:id="103"/>
      </w:r>
      <w:r w:rsidRPr="00CA0FBA">
        <w:rPr>
          <w:rFonts w:ascii="Times New Roman" w:hAnsi="Times New Roman"/>
          <w:sz w:val="22"/>
          <w:szCs w:val="20"/>
          <w:lang w:val="fr-FR"/>
        </w:rPr>
        <w:t xml:space="preserve"> avant  l’organisation d’un débat national à organiser sous la prochaine législature, fixant les balises d’une réflexion sur les abandons sectoriels de souveraineté et celle d’une réelle spécialisation belge dans un espace européen de solidarité, avec édition d’un « Livre blanc sur la politique étrangère et la défense nationale et européenne 2014 » ;</w:t>
      </w:r>
    </w:p>
    <w:p w:rsidR="000449D5" w:rsidRPr="00CA0FBA" w:rsidRDefault="000449D5" w:rsidP="000449D5">
      <w:pPr>
        <w:pStyle w:val="Paragraphedeliste"/>
        <w:ind w:left="644"/>
        <w:rPr>
          <w:rFonts w:ascii="Times New Roman" w:hAnsi="Times New Roman"/>
          <w:sz w:val="22"/>
          <w:szCs w:val="20"/>
          <w:lang w:val="fr-FR"/>
        </w:rPr>
      </w:pPr>
    </w:p>
    <w:p w:rsidR="000449D5" w:rsidRPr="00CA0FBA" w:rsidRDefault="000449D5" w:rsidP="000449D5">
      <w:pPr>
        <w:pStyle w:val="Paragraphedeliste"/>
        <w:numPr>
          <w:ilvl w:val="0"/>
          <w:numId w:val="19"/>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 xml:space="preserve">de relancer la question de la </w:t>
      </w:r>
      <w:r>
        <w:rPr>
          <w:rFonts w:ascii="Times New Roman" w:hAnsi="Times New Roman"/>
          <w:sz w:val="22"/>
          <w:szCs w:val="20"/>
          <w:lang w:val="fr-FR"/>
        </w:rPr>
        <w:t>CSP</w:t>
      </w:r>
      <w:r w:rsidRPr="00CA0FBA">
        <w:rPr>
          <w:rFonts w:ascii="Times New Roman" w:hAnsi="Times New Roman"/>
          <w:sz w:val="22"/>
          <w:szCs w:val="20"/>
          <w:lang w:val="fr-FR"/>
        </w:rPr>
        <w:t xml:space="preserve"> inscrite dans le traité, certes fragilisée diplomatiquement ses dernières années</w:t>
      </w:r>
      <w:r w:rsidRPr="00CA0FBA">
        <w:rPr>
          <w:rStyle w:val="Appelnotedebasdep"/>
          <w:rFonts w:ascii="Times New Roman" w:hAnsi="Times New Roman"/>
          <w:sz w:val="22"/>
          <w:szCs w:val="20"/>
        </w:rPr>
        <w:footnoteReference w:id="104"/>
      </w:r>
      <w:r w:rsidRPr="00CA0FBA">
        <w:rPr>
          <w:rFonts w:ascii="Times New Roman" w:hAnsi="Times New Roman"/>
          <w:sz w:val="22"/>
          <w:szCs w:val="20"/>
          <w:lang w:val="fr-FR"/>
        </w:rPr>
        <w:t xml:space="preserve">, mais dont les éléments rejoignent les priorités hexagonales en général, et belges en particulier, en termes de coopération. Dans cet esprit et au vu des difficultés passées, les objectifs autour des critères devront obligatoirement se situer à équidistance entre </w:t>
      </w:r>
      <w:r w:rsidRPr="00CA0FBA">
        <w:rPr>
          <w:rFonts w:ascii="Times New Roman" w:eastAsia="Calibri" w:hAnsi="Times New Roman"/>
          <w:sz w:val="22"/>
          <w:szCs w:val="20"/>
          <w:lang w:val="fr-FR"/>
        </w:rPr>
        <w:t xml:space="preserve">l’inclusif utopique </w:t>
      </w:r>
      <w:r w:rsidRPr="00CA0FBA">
        <w:rPr>
          <w:rFonts w:ascii="Times New Roman" w:hAnsi="Times New Roman"/>
          <w:sz w:val="22"/>
          <w:szCs w:val="20"/>
          <w:lang w:val="fr-FR"/>
        </w:rPr>
        <w:t>et</w:t>
      </w:r>
      <w:r w:rsidRPr="00CA0FBA">
        <w:rPr>
          <w:rFonts w:ascii="Times New Roman" w:eastAsia="Calibri" w:hAnsi="Times New Roman"/>
          <w:sz w:val="22"/>
          <w:szCs w:val="20"/>
          <w:lang w:val="fr-FR"/>
        </w:rPr>
        <w:t xml:space="preserve"> l’élitisme </w:t>
      </w:r>
      <w:r w:rsidRPr="00CA0FBA">
        <w:rPr>
          <w:rFonts w:ascii="Times New Roman" w:hAnsi="Times New Roman"/>
          <w:sz w:val="22"/>
          <w:szCs w:val="20"/>
          <w:lang w:val="fr-FR"/>
        </w:rPr>
        <w:t>ostracisant. Le lancement de la CSP par les pays les plus volontaristes (France</w:t>
      </w:r>
      <w:r w:rsidRPr="00CA0FBA">
        <w:rPr>
          <w:rStyle w:val="Appelnotedebasdep"/>
          <w:rFonts w:ascii="Times New Roman" w:hAnsi="Times New Roman"/>
          <w:sz w:val="22"/>
          <w:szCs w:val="20"/>
        </w:rPr>
        <w:footnoteReference w:id="105"/>
      </w:r>
      <w:r w:rsidRPr="00CA0FBA">
        <w:rPr>
          <w:rFonts w:ascii="Times New Roman" w:hAnsi="Times New Roman"/>
          <w:sz w:val="22"/>
          <w:szCs w:val="20"/>
          <w:lang w:val="fr-FR"/>
        </w:rPr>
        <w:t>, Pologne</w:t>
      </w:r>
      <w:r w:rsidRPr="00CA0FBA">
        <w:rPr>
          <w:rStyle w:val="Appelnotedebasdep"/>
          <w:rFonts w:ascii="Times New Roman" w:hAnsi="Times New Roman"/>
          <w:sz w:val="22"/>
          <w:szCs w:val="20"/>
        </w:rPr>
        <w:footnoteReference w:id="106"/>
      </w:r>
      <w:r w:rsidRPr="00CA0FBA">
        <w:rPr>
          <w:rFonts w:ascii="Times New Roman" w:hAnsi="Times New Roman"/>
          <w:sz w:val="22"/>
          <w:szCs w:val="20"/>
          <w:lang w:val="fr-FR"/>
        </w:rPr>
        <w:t xml:space="preserve">) pourrait aboutir à la proposition de créer un véritable quartier général permanent pour les opérations </w:t>
      </w:r>
      <w:r>
        <w:rPr>
          <w:rFonts w:ascii="Times New Roman" w:hAnsi="Times New Roman"/>
          <w:sz w:val="22"/>
          <w:szCs w:val="20"/>
          <w:lang w:val="fr-FR"/>
        </w:rPr>
        <w:t>à localiser en Belgique</w:t>
      </w:r>
      <w:r w:rsidRPr="00CA0FBA">
        <w:rPr>
          <w:rFonts w:ascii="Times New Roman" w:hAnsi="Times New Roman"/>
          <w:sz w:val="22"/>
          <w:szCs w:val="20"/>
          <w:lang w:val="fr-FR"/>
        </w:rPr>
        <w:t xml:space="preserve"> </w:t>
      </w:r>
      <w:r w:rsidRPr="00CA0FBA">
        <w:rPr>
          <w:rFonts w:ascii="Times New Roman" w:hAnsi="Times New Roman"/>
          <w:i/>
          <w:sz w:val="22"/>
          <w:szCs w:val="20"/>
          <w:lang w:val="fr-FR"/>
        </w:rPr>
        <w:t>(à défaut d’une structure véritablement civilo-militaire de planification et de conduite des missions et opérations dans le cadre de l’UE)</w:t>
      </w:r>
      <w:r w:rsidRPr="00CA0FBA">
        <w:rPr>
          <w:rFonts w:ascii="Times New Roman" w:hAnsi="Times New Roman"/>
          <w:sz w:val="22"/>
          <w:szCs w:val="20"/>
          <w:lang w:val="fr-FR"/>
        </w:rPr>
        <w:t>, mais qui pourrait annoncer, à terme, la création d’un véritable QG européen ;</w:t>
      </w:r>
    </w:p>
    <w:p w:rsidR="000449D5" w:rsidRPr="00CA0FBA" w:rsidRDefault="000449D5" w:rsidP="000449D5">
      <w:pPr>
        <w:pStyle w:val="Paragraphedeliste"/>
        <w:ind w:left="644"/>
        <w:rPr>
          <w:rFonts w:ascii="Times New Roman" w:hAnsi="Times New Roman"/>
          <w:sz w:val="22"/>
          <w:szCs w:val="20"/>
          <w:lang w:val="fr-FR"/>
        </w:rPr>
      </w:pPr>
    </w:p>
    <w:p w:rsidR="000449D5" w:rsidRPr="00CA0FBA" w:rsidRDefault="000449D5" w:rsidP="000449D5">
      <w:pPr>
        <w:pStyle w:val="Paragraphedeliste"/>
        <w:numPr>
          <w:ilvl w:val="0"/>
          <w:numId w:val="19"/>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d’organiser une cellule élargie stratégique franco-belge sur la politique de sécurité africaine, nonobstant la clarification du contentieux « informel » autour de l’épisode rwandais ;</w:t>
      </w:r>
    </w:p>
    <w:p w:rsidR="000449D5" w:rsidRPr="00CA0FBA" w:rsidRDefault="000449D5" w:rsidP="000449D5">
      <w:pPr>
        <w:rPr>
          <w:sz w:val="22"/>
          <w:lang w:val="fr-FR"/>
        </w:rPr>
      </w:pPr>
    </w:p>
    <w:p w:rsidR="000449D5" w:rsidRPr="00CA0FBA" w:rsidRDefault="000449D5" w:rsidP="000449D5">
      <w:pPr>
        <w:pStyle w:val="Paragraphedeliste"/>
        <w:numPr>
          <w:ilvl w:val="0"/>
          <w:numId w:val="19"/>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de définir les modalités d’un Livre blanc « européen » programmatique avec quelques États pionniers qui veulent aller plus vite et plus loin dans le domaine de la défense européenne</w:t>
      </w:r>
      <w:r w:rsidRPr="00CA0FBA">
        <w:rPr>
          <w:rStyle w:val="Appelnotedebasdep"/>
          <w:rFonts w:ascii="Times New Roman" w:hAnsi="Times New Roman"/>
          <w:sz w:val="22"/>
          <w:szCs w:val="20"/>
        </w:rPr>
        <w:footnoteReference w:id="107"/>
      </w:r>
      <w:r w:rsidRPr="00CA0FBA">
        <w:rPr>
          <w:rFonts w:ascii="Times New Roman" w:hAnsi="Times New Roman"/>
          <w:sz w:val="22"/>
          <w:szCs w:val="20"/>
          <w:lang w:val="fr-FR"/>
        </w:rPr>
        <w:t>. Le champ couvert ne pourra être institutionnel ou théorique mais associé en calque avec les éléments constitutifs concrets d’une coopération à la carte. Un Livre blanc européen sur la sécurité-défense élaboré par quelques capitales qui ont décidé de lancer la CSP pourrait être une base de référence pour tenter de coordonner « intelligemment » les définitions doctrinales et les programmations d’équipements militaires associées. L’objectif final est de soutenir une vision stratégique intégrale à élaborer en amont. Le calendrier d’élaboration ultérieure d’une version à 28 autour d’une véritable politique européenne commune des capacités et de l’armement devra prendre en compte les ballons d’essai autour d’une éventuelle actualisation de la Stratégie européenne de sécurité de l’UE autour d’une approche dite globale</w:t>
      </w:r>
      <w:r w:rsidRPr="00CA0FBA">
        <w:rPr>
          <w:rStyle w:val="Appelnotedebasdep"/>
          <w:rFonts w:ascii="Times New Roman" w:hAnsi="Times New Roman"/>
          <w:sz w:val="22"/>
          <w:szCs w:val="20"/>
        </w:rPr>
        <w:footnoteReference w:id="108"/>
      </w:r>
      <w:r w:rsidRPr="00CA0FBA">
        <w:rPr>
          <w:rFonts w:ascii="Times New Roman" w:hAnsi="Times New Roman"/>
          <w:sz w:val="22"/>
          <w:szCs w:val="20"/>
          <w:lang w:val="fr-FR"/>
        </w:rPr>
        <w:t xml:space="preserve"> (sécurité militaire et non militaire) souhaitée par la Commission européenne dans son plan d’action</w:t>
      </w:r>
      <w:r w:rsidRPr="00CA0FBA">
        <w:rPr>
          <w:rStyle w:val="Appelnotedebasdep"/>
          <w:rFonts w:ascii="Times New Roman" w:hAnsi="Times New Roman"/>
          <w:sz w:val="22"/>
          <w:szCs w:val="20"/>
        </w:rPr>
        <w:footnoteReference w:id="109"/>
      </w:r>
      <w:r w:rsidRPr="00CA0FBA">
        <w:rPr>
          <w:rFonts w:ascii="Times New Roman" w:hAnsi="Times New Roman"/>
          <w:sz w:val="22"/>
          <w:szCs w:val="20"/>
          <w:lang w:val="fr-FR"/>
        </w:rPr>
        <w:t xml:space="preserve"> présenté en juillet 2013 ;</w:t>
      </w:r>
    </w:p>
    <w:p w:rsidR="000449D5" w:rsidRPr="00CA0FBA" w:rsidRDefault="000449D5" w:rsidP="000449D5">
      <w:pPr>
        <w:rPr>
          <w:sz w:val="22"/>
          <w:lang w:val="fr-FR"/>
        </w:rPr>
      </w:pPr>
    </w:p>
    <w:p w:rsidR="000449D5" w:rsidRPr="00CA0FBA" w:rsidRDefault="000449D5" w:rsidP="000449D5">
      <w:pPr>
        <w:suppressAutoHyphens/>
        <w:ind w:left="284"/>
        <w:rPr>
          <w:sz w:val="22"/>
          <w:lang w:val="fr-BE"/>
        </w:rPr>
      </w:pPr>
    </w:p>
    <w:p w:rsidR="000449D5" w:rsidRPr="00CA0FBA" w:rsidRDefault="000449D5" w:rsidP="000449D5">
      <w:pPr>
        <w:pStyle w:val="Titre2"/>
        <w:keepNext/>
        <w:numPr>
          <w:ilvl w:val="1"/>
          <w:numId w:val="0"/>
        </w:numPr>
        <w:tabs>
          <w:tab w:val="num" w:pos="0"/>
        </w:tabs>
        <w:suppressAutoHyphens/>
        <w:spacing w:before="0" w:line="240" w:lineRule="auto"/>
        <w:ind w:left="576" w:hanging="576"/>
        <w:jc w:val="both"/>
        <w:rPr>
          <w:rFonts w:ascii="Times New Roman" w:hAnsi="Times New Roman"/>
          <w:sz w:val="32"/>
          <w:lang w:val="fr-BE"/>
        </w:rPr>
      </w:pPr>
      <w:r w:rsidRPr="00CA0FBA">
        <w:rPr>
          <w:rFonts w:ascii="Times New Roman" w:hAnsi="Times New Roman"/>
          <w:sz w:val="24"/>
          <w:szCs w:val="20"/>
          <w:lang w:val="fr-BE"/>
        </w:rPr>
        <w:t>Positionnement de la Belgique dans la zone d’intérêts géopolitiques de la France et de l’Allemagne</w:t>
      </w:r>
    </w:p>
    <w:p w:rsidR="000449D5" w:rsidRDefault="000449D5" w:rsidP="000449D5">
      <w:pPr>
        <w:jc w:val="center"/>
        <w:rPr>
          <w:sz w:val="18"/>
          <w:szCs w:val="18"/>
          <w:lang w:val="fr-FR"/>
        </w:rPr>
      </w:pPr>
      <w:r>
        <w:rPr>
          <w:noProof/>
          <w:lang w:val="fr-BE" w:eastAsia="fr-BE"/>
        </w:rPr>
        <w:drawing>
          <wp:inline distT="0" distB="0" distL="0" distR="0">
            <wp:extent cx="2971800" cy="2506980"/>
            <wp:effectExtent l="0" t="0" r="0" b="7620"/>
            <wp:docPr id="1"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506980"/>
                    </a:xfrm>
                    <a:prstGeom prst="rect">
                      <a:avLst/>
                    </a:prstGeom>
                    <a:solidFill>
                      <a:srgbClr val="FFFFFF"/>
                    </a:solidFill>
                    <a:ln>
                      <a:noFill/>
                    </a:ln>
                  </pic:spPr>
                </pic:pic>
              </a:graphicData>
            </a:graphic>
          </wp:inline>
        </w:drawing>
      </w:r>
    </w:p>
    <w:p w:rsidR="000449D5" w:rsidRDefault="000449D5" w:rsidP="000449D5">
      <w:pPr>
        <w:rPr>
          <w:sz w:val="18"/>
          <w:szCs w:val="18"/>
          <w:lang w:val="fr-FR"/>
        </w:rPr>
      </w:pPr>
    </w:p>
    <w:p w:rsidR="000449D5" w:rsidRDefault="000449D5" w:rsidP="000449D5">
      <w:pPr>
        <w:rPr>
          <w:szCs w:val="18"/>
          <w:lang w:val="fr-FR"/>
        </w:rPr>
      </w:pPr>
      <w:r w:rsidRPr="00CA0FBA">
        <w:rPr>
          <w:szCs w:val="18"/>
          <w:lang w:val="fr-FR"/>
        </w:rPr>
        <w:t xml:space="preserve">Source : </w:t>
      </w:r>
      <w:proofErr w:type="spellStart"/>
      <w:r w:rsidRPr="00CA0FBA">
        <w:rPr>
          <w:szCs w:val="18"/>
          <w:lang w:val="fr-FR"/>
        </w:rPr>
        <w:t>Zbigniew</w:t>
      </w:r>
      <w:proofErr w:type="spellEnd"/>
      <w:r w:rsidRPr="00CA0FBA">
        <w:rPr>
          <w:szCs w:val="18"/>
          <w:lang w:val="fr-FR"/>
        </w:rPr>
        <w:t xml:space="preserve"> </w:t>
      </w:r>
      <w:proofErr w:type="spellStart"/>
      <w:r w:rsidRPr="00CA0FBA">
        <w:rPr>
          <w:szCs w:val="18"/>
          <w:lang w:val="fr-FR"/>
        </w:rPr>
        <w:t>Brzezinski</w:t>
      </w:r>
      <w:proofErr w:type="spellEnd"/>
      <w:r w:rsidRPr="00CA0FBA">
        <w:rPr>
          <w:szCs w:val="18"/>
          <w:lang w:val="fr-FR"/>
        </w:rPr>
        <w:t xml:space="preserve">, </w:t>
      </w:r>
      <w:r w:rsidRPr="00CA0FBA">
        <w:rPr>
          <w:i/>
          <w:iCs/>
          <w:szCs w:val="18"/>
          <w:lang w:val="fr-FR"/>
        </w:rPr>
        <w:t>Le grand échiquier</w:t>
      </w:r>
      <w:r w:rsidRPr="00CA0FBA">
        <w:rPr>
          <w:szCs w:val="18"/>
          <w:lang w:val="fr-FR"/>
        </w:rPr>
        <w:t>, Hachette, 1997, p. 102.</w:t>
      </w:r>
    </w:p>
    <w:p w:rsidR="000449D5" w:rsidRPr="00CA0FBA" w:rsidRDefault="000449D5" w:rsidP="000449D5">
      <w:pPr>
        <w:rPr>
          <w:sz w:val="22"/>
          <w:szCs w:val="24"/>
          <w:lang w:val="fr-FR"/>
        </w:rPr>
      </w:pPr>
    </w:p>
    <w:p w:rsidR="000449D5" w:rsidRPr="002D355D" w:rsidRDefault="000449D5" w:rsidP="000449D5">
      <w:pPr>
        <w:pStyle w:val="Paragraphedeliste"/>
        <w:numPr>
          <w:ilvl w:val="0"/>
          <w:numId w:val="19"/>
        </w:numPr>
        <w:suppressAutoHyphens/>
        <w:rPr>
          <w:sz w:val="22"/>
          <w:lang w:val="fr-BE"/>
        </w:rPr>
      </w:pPr>
      <w:r w:rsidRPr="002D355D">
        <w:rPr>
          <w:sz w:val="22"/>
          <w:lang w:val="fr-FR"/>
        </w:rPr>
        <w:t xml:space="preserve">de participer aux réflexions autour d’une implication juridique et doctrinale de la clause </w:t>
      </w:r>
      <w:r>
        <w:rPr>
          <w:sz w:val="22"/>
          <w:lang w:val="fr-FR"/>
        </w:rPr>
        <w:t>d’assistance mutuelle de l’UE</w:t>
      </w:r>
      <w:r w:rsidRPr="002D355D">
        <w:rPr>
          <w:sz w:val="22"/>
          <w:lang w:val="fr-FR"/>
        </w:rPr>
        <w:t xml:space="preserve"> ; la clause de solidarité ayant déjà fait l’objet de plusieurs avancées ces derniers mois</w:t>
      </w:r>
      <w:r w:rsidRPr="00CA0FBA">
        <w:rPr>
          <w:rStyle w:val="Appelnotedebasdep"/>
          <w:rFonts w:ascii="Times New Roman" w:hAnsi="Times New Roman"/>
          <w:sz w:val="22"/>
          <w:szCs w:val="20"/>
        </w:rPr>
        <w:footnoteReference w:id="110"/>
      </w:r>
      <w:r w:rsidRPr="002D355D">
        <w:rPr>
          <w:sz w:val="22"/>
          <w:lang w:val="fr-FR"/>
        </w:rPr>
        <w:t> ;</w:t>
      </w:r>
    </w:p>
    <w:p w:rsidR="000449D5" w:rsidRPr="002D355D" w:rsidRDefault="000449D5" w:rsidP="000449D5">
      <w:pPr>
        <w:pStyle w:val="Paragraphedeliste"/>
        <w:ind w:left="644"/>
        <w:rPr>
          <w:szCs w:val="24"/>
          <w:lang w:val="fr-BE"/>
        </w:rPr>
      </w:pPr>
    </w:p>
    <w:p w:rsidR="000449D5" w:rsidRPr="00CA0FBA" w:rsidRDefault="000449D5" w:rsidP="000449D5">
      <w:pPr>
        <w:pStyle w:val="Paragraphedeliste"/>
        <w:numPr>
          <w:ilvl w:val="0"/>
          <w:numId w:val="19"/>
        </w:numPr>
        <w:suppressAutoHyphens/>
        <w:spacing w:after="0"/>
        <w:contextualSpacing w:val="0"/>
        <w:rPr>
          <w:rFonts w:ascii="Times New Roman" w:hAnsi="Times New Roman"/>
          <w:sz w:val="22"/>
          <w:szCs w:val="20"/>
          <w:lang w:val="fr-FR"/>
        </w:rPr>
      </w:pPr>
      <w:r w:rsidRPr="00CA0FBA">
        <w:rPr>
          <w:rFonts w:ascii="Times New Roman" w:hAnsi="Times New Roman"/>
          <w:sz w:val="22"/>
          <w:szCs w:val="20"/>
          <w:lang w:val="fr-FR"/>
        </w:rPr>
        <w:t xml:space="preserve">de soutenir toutes initiatives prises par les capitales </w:t>
      </w:r>
      <w:r>
        <w:rPr>
          <w:rFonts w:ascii="Times New Roman" w:hAnsi="Times New Roman"/>
          <w:sz w:val="22"/>
          <w:szCs w:val="20"/>
          <w:lang w:val="fr-FR"/>
        </w:rPr>
        <w:t>à partir des conclusions et enseignements tirés</w:t>
      </w:r>
      <w:r w:rsidRPr="00CA0FBA">
        <w:rPr>
          <w:rFonts w:ascii="Times New Roman" w:hAnsi="Times New Roman"/>
          <w:sz w:val="22"/>
          <w:szCs w:val="20"/>
          <w:lang w:val="fr-FR"/>
        </w:rPr>
        <w:t xml:space="preserve"> du sommet spécial défense de l’UE </w:t>
      </w:r>
      <w:r>
        <w:rPr>
          <w:rFonts w:ascii="Times New Roman" w:hAnsi="Times New Roman"/>
          <w:sz w:val="22"/>
          <w:szCs w:val="20"/>
          <w:lang w:val="fr-FR"/>
        </w:rPr>
        <w:t>organisé</w:t>
      </w:r>
      <w:r w:rsidRPr="00CA0FBA">
        <w:rPr>
          <w:rFonts w:ascii="Times New Roman" w:hAnsi="Times New Roman"/>
          <w:sz w:val="22"/>
          <w:szCs w:val="20"/>
          <w:lang w:val="fr-FR"/>
        </w:rPr>
        <w:t xml:space="preserve"> en décembre 2013 et qui</w:t>
      </w:r>
      <w:r>
        <w:rPr>
          <w:rFonts w:ascii="Times New Roman" w:hAnsi="Times New Roman"/>
          <w:sz w:val="22"/>
          <w:szCs w:val="20"/>
          <w:lang w:val="fr-FR"/>
        </w:rPr>
        <w:t xml:space="preserve"> a suscité durant l’année </w:t>
      </w:r>
      <w:r w:rsidRPr="00CA0FBA">
        <w:rPr>
          <w:rFonts w:ascii="Times New Roman" w:hAnsi="Times New Roman"/>
          <w:sz w:val="22"/>
          <w:szCs w:val="20"/>
          <w:lang w:val="fr-FR"/>
        </w:rPr>
        <w:t>de fortes attentes</w:t>
      </w:r>
      <w:r w:rsidRPr="00CA0FBA">
        <w:rPr>
          <w:rStyle w:val="Appelnotedebasdep"/>
          <w:rFonts w:ascii="Times New Roman" w:hAnsi="Times New Roman"/>
          <w:sz w:val="22"/>
          <w:szCs w:val="20"/>
        </w:rPr>
        <w:footnoteReference w:id="111"/>
      </w:r>
      <w:r w:rsidRPr="00CA0FBA">
        <w:rPr>
          <w:rFonts w:ascii="Times New Roman" w:hAnsi="Times New Roman"/>
          <w:sz w:val="22"/>
          <w:szCs w:val="20"/>
          <w:lang w:val="fr-FR"/>
        </w:rPr>
        <w:t xml:space="preserve">, dès lors qu’elles </w:t>
      </w:r>
      <w:r>
        <w:rPr>
          <w:rFonts w:ascii="Times New Roman" w:hAnsi="Times New Roman"/>
          <w:sz w:val="22"/>
          <w:szCs w:val="20"/>
          <w:lang w:val="fr-FR"/>
        </w:rPr>
        <w:t>étaient</w:t>
      </w:r>
      <w:r w:rsidRPr="00CA0FBA">
        <w:rPr>
          <w:rFonts w:ascii="Times New Roman" w:hAnsi="Times New Roman"/>
          <w:sz w:val="22"/>
          <w:szCs w:val="20"/>
          <w:lang w:val="fr-FR"/>
        </w:rPr>
        <w:t xml:space="preserve"> assorties d</w:t>
      </w:r>
      <w:r>
        <w:rPr>
          <w:rFonts w:ascii="Times New Roman" w:hAnsi="Times New Roman"/>
          <w:sz w:val="22"/>
          <w:szCs w:val="20"/>
          <w:lang w:val="fr-FR"/>
        </w:rPr>
        <w:t xml:space="preserve">e possibles </w:t>
      </w:r>
      <w:r w:rsidRPr="00CA0FBA">
        <w:rPr>
          <w:rFonts w:ascii="Times New Roman" w:hAnsi="Times New Roman"/>
          <w:sz w:val="22"/>
          <w:szCs w:val="20"/>
          <w:lang w:val="fr-FR"/>
        </w:rPr>
        <w:t>avancées en matière de coopération, mutualisation, partage et solidarité entre Européens (dans l’esprit de Gand qui anima la présidence belge du second semestre 2010)</w:t>
      </w:r>
      <w:r w:rsidRPr="00CA0FBA">
        <w:rPr>
          <w:rStyle w:val="Appelnotedebasdep"/>
          <w:rFonts w:ascii="Times New Roman" w:hAnsi="Times New Roman"/>
          <w:sz w:val="22"/>
          <w:szCs w:val="20"/>
        </w:rPr>
        <w:footnoteReference w:id="112"/>
      </w:r>
      <w:r w:rsidRPr="00CA0FBA">
        <w:rPr>
          <w:rFonts w:ascii="Times New Roman" w:hAnsi="Times New Roman"/>
          <w:sz w:val="22"/>
          <w:szCs w:val="20"/>
          <w:lang w:val="fr-FR"/>
        </w:rPr>
        <w:t>, y compris le renforcement des différentes agences de la PSDC ;</w:t>
      </w:r>
    </w:p>
    <w:p w:rsidR="000449D5" w:rsidRPr="00CA0FBA" w:rsidRDefault="000449D5" w:rsidP="000449D5">
      <w:pPr>
        <w:rPr>
          <w:sz w:val="22"/>
          <w:lang w:val="fr-FR"/>
        </w:rPr>
      </w:pPr>
    </w:p>
    <w:p w:rsidR="000449D5" w:rsidRPr="00C75879" w:rsidRDefault="000449D5" w:rsidP="000449D5">
      <w:pPr>
        <w:pStyle w:val="Paragraphedeliste"/>
        <w:numPr>
          <w:ilvl w:val="0"/>
          <w:numId w:val="19"/>
        </w:numPr>
        <w:suppressAutoHyphens/>
        <w:spacing w:after="0"/>
        <w:contextualSpacing w:val="0"/>
        <w:rPr>
          <w:rFonts w:ascii="Times New Roman" w:hAnsi="Times New Roman"/>
          <w:sz w:val="22"/>
          <w:szCs w:val="20"/>
          <w:lang w:val="fr-BE"/>
        </w:rPr>
      </w:pPr>
      <w:r w:rsidRPr="00CA0FBA">
        <w:rPr>
          <w:rFonts w:ascii="Times New Roman" w:hAnsi="Times New Roman"/>
          <w:sz w:val="22"/>
          <w:szCs w:val="20"/>
          <w:lang w:val="fr-FR"/>
        </w:rPr>
        <w:t xml:space="preserve">de demander la réalisation d’un </w:t>
      </w:r>
      <w:proofErr w:type="spellStart"/>
      <w:r w:rsidRPr="00CA0FBA">
        <w:rPr>
          <w:rFonts w:ascii="Times New Roman" w:hAnsi="Times New Roman"/>
          <w:sz w:val="22"/>
          <w:szCs w:val="20"/>
          <w:lang w:val="fr-FR"/>
        </w:rPr>
        <w:t>euro-baromètre</w:t>
      </w:r>
      <w:proofErr w:type="spellEnd"/>
      <w:r w:rsidRPr="00CA0FBA">
        <w:rPr>
          <w:rFonts w:ascii="Times New Roman" w:hAnsi="Times New Roman"/>
          <w:sz w:val="22"/>
          <w:szCs w:val="20"/>
          <w:lang w:val="fr-FR"/>
        </w:rPr>
        <w:t xml:space="preserve"> spécial défense après celui de fin 2000, sachant toute l’importance de l’opinion publique pour le degré de soutien au domaine des interventions extérieures</w:t>
      </w:r>
      <w:r w:rsidRPr="00CA0FBA">
        <w:rPr>
          <w:rStyle w:val="Appelnotedebasdep"/>
          <w:rFonts w:ascii="Times New Roman" w:hAnsi="Times New Roman"/>
          <w:sz w:val="22"/>
          <w:szCs w:val="20"/>
        </w:rPr>
        <w:footnoteReference w:id="113"/>
      </w:r>
      <w:r w:rsidRPr="00CA0FBA">
        <w:rPr>
          <w:rFonts w:ascii="Times New Roman" w:hAnsi="Times New Roman"/>
          <w:sz w:val="22"/>
          <w:szCs w:val="20"/>
          <w:lang w:val="fr-FR"/>
        </w:rPr>
        <w:t>, tout en prenant en compte les enseignements tirés de l’étude de l’IRSEM sur « La perception de la défense française chez nos alliés » (2010) et les enseignements du sondage réalisé par l’IFOP sur « Les Français et la politique de Défense nationale »</w:t>
      </w:r>
      <w:r w:rsidRPr="00CA0FBA">
        <w:rPr>
          <w:rStyle w:val="Appelnotedebasdep"/>
          <w:rFonts w:ascii="Times New Roman" w:hAnsi="Times New Roman"/>
          <w:sz w:val="22"/>
          <w:szCs w:val="20"/>
        </w:rPr>
        <w:footnoteReference w:id="114"/>
      </w:r>
      <w:r w:rsidRPr="00CA0FBA">
        <w:rPr>
          <w:rFonts w:ascii="Times New Roman" w:hAnsi="Times New Roman"/>
          <w:sz w:val="22"/>
          <w:szCs w:val="20"/>
          <w:lang w:val="fr-FR"/>
        </w:rPr>
        <w:t xml:space="preserve"> (2013) indiquant l’important soutien des Français à une intensification des efforts de collaboration entre les armées européennes</w:t>
      </w:r>
      <w:r w:rsidRPr="00CA0FBA">
        <w:rPr>
          <w:rStyle w:val="Appelnotedebasdep"/>
          <w:rFonts w:ascii="Times New Roman" w:hAnsi="Times New Roman"/>
          <w:sz w:val="22"/>
          <w:szCs w:val="20"/>
        </w:rPr>
        <w:footnoteReference w:id="115"/>
      </w:r>
      <w:r>
        <w:rPr>
          <w:rFonts w:ascii="Times New Roman" w:hAnsi="Times New Roman"/>
          <w:sz w:val="22"/>
          <w:szCs w:val="20"/>
          <w:lang w:val="fr-FR"/>
        </w:rPr>
        <w:t> ;</w:t>
      </w:r>
    </w:p>
    <w:p w:rsidR="000449D5" w:rsidRPr="00C75879" w:rsidRDefault="000449D5" w:rsidP="000449D5">
      <w:pPr>
        <w:pStyle w:val="Paragraphedeliste"/>
        <w:rPr>
          <w:rFonts w:ascii="Times New Roman" w:hAnsi="Times New Roman"/>
          <w:sz w:val="22"/>
          <w:szCs w:val="20"/>
          <w:lang w:val="fr-BE"/>
        </w:rPr>
      </w:pPr>
    </w:p>
    <w:p w:rsidR="000449D5" w:rsidRPr="00CA0FBA" w:rsidRDefault="000449D5" w:rsidP="000449D5">
      <w:pPr>
        <w:pStyle w:val="Paragraphedeliste"/>
        <w:numPr>
          <w:ilvl w:val="0"/>
          <w:numId w:val="19"/>
        </w:numPr>
        <w:suppressAutoHyphens/>
        <w:spacing w:after="0"/>
        <w:contextualSpacing w:val="0"/>
        <w:rPr>
          <w:rFonts w:ascii="Times New Roman" w:hAnsi="Times New Roman"/>
          <w:sz w:val="22"/>
          <w:szCs w:val="20"/>
          <w:lang w:val="fr-BE"/>
        </w:rPr>
      </w:pPr>
      <w:r>
        <w:rPr>
          <w:rFonts w:ascii="Times New Roman" w:hAnsi="Times New Roman"/>
          <w:sz w:val="22"/>
          <w:szCs w:val="20"/>
          <w:lang w:val="fr-BE"/>
        </w:rPr>
        <w:t>à partir desdites recommandations, de prendre en compte le caractère progressif et délicat de construction de la PSDC, tenant compte des évolutions stratégiques (pivot US), des difficultés budgétaires et des réticences de certaines capitales européennes à soutenir et renforcer la politique européenne en ces matières. L’heure est davantage aux coopérations renforcées qu’à l’édification d’une armée européenne intégrée.</w:t>
      </w:r>
    </w:p>
    <w:p w:rsidR="00DA259E" w:rsidRPr="000449D5" w:rsidRDefault="00DA259E" w:rsidP="00DA259E">
      <w:pPr>
        <w:rPr>
          <w:szCs w:val="24"/>
          <w:lang w:val="fr-BE"/>
        </w:rPr>
      </w:pPr>
    </w:p>
    <w:p w:rsidR="006554CC" w:rsidRPr="006856FE" w:rsidRDefault="006554CC">
      <w:pPr>
        <w:rPr>
          <w:rFonts w:asciiTheme="minorHAnsi" w:hAnsiTheme="minorHAnsi" w:cstheme="minorHAnsi"/>
          <w:b/>
          <w:color w:val="1F497D"/>
          <w:kern w:val="0"/>
          <w:lang w:val="fr-BE" w:eastAsia="zh-CN" w:bidi="hi-IN"/>
        </w:rPr>
      </w:pPr>
      <w:r w:rsidRPr="006856FE">
        <w:rPr>
          <w:rFonts w:asciiTheme="minorHAnsi" w:hAnsiTheme="minorHAnsi" w:cstheme="minorHAnsi"/>
          <w:b/>
          <w:color w:val="1F497D"/>
          <w:lang w:val="fr-BE"/>
        </w:rPr>
        <w:br w:type="page"/>
      </w:r>
    </w:p>
    <w:p w:rsidR="007D48CC" w:rsidRPr="007D48CC" w:rsidRDefault="00603254" w:rsidP="007D48CC">
      <w:pPr>
        <w:spacing w:after="360"/>
        <w:ind w:left="720"/>
        <w:rPr>
          <w:rFonts w:ascii="Century Schoolbook" w:hAnsi="Century Schoolbook"/>
          <w:b/>
          <w:color w:val="1F497D"/>
          <w:sz w:val="48"/>
          <w:szCs w:val="48"/>
          <w:lang w:val="fr-BE"/>
        </w:rPr>
      </w:pPr>
      <w:r w:rsidRPr="00603254">
        <w:rPr>
          <w:noProof/>
          <w:sz w:val="18"/>
          <w:szCs w:val="24"/>
        </w:rPr>
        <w:lastRenderedPageBreak/>
        <w:pict>
          <v:rect id="Rectangle 5446" o:spid="_x0000_s1041" style="position:absolute;left:0;text-align:left;margin-left:-3pt;margin-top:-23.05pt;width:36pt;height:63pt;z-index:25163059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" fillcolor="#1f497d" stroked="f" strokeweight="0" insetpen="t">
            <v:shadow color="#ccc"/>
            <v:textbox inset="2.88pt,2.88pt,2.88pt,2.88pt"/>
          </v:rect>
        </w:pict>
      </w:r>
      <w:r w:rsidR="007D48CC" w:rsidRPr="007D48CC">
        <w:rPr>
          <w:rFonts w:ascii="Century Schoolbook" w:hAnsi="Century Schoolbook"/>
          <w:b/>
          <w:color w:val="1F497D"/>
          <w:sz w:val="36"/>
          <w:szCs w:val="48"/>
          <w:lang w:val="fr-BE"/>
        </w:rPr>
        <w:t>Annexe</w:t>
      </w:r>
      <w:r w:rsidR="007D48CC" w:rsidRPr="007D48CC">
        <w:rPr>
          <w:b/>
          <w:sz w:val="14"/>
          <w:lang w:val="fr-FR"/>
        </w:rPr>
        <w:t xml:space="preserve"> </w:t>
      </w:r>
      <w:r w:rsidR="007D48CC" w:rsidRPr="007D48CC">
        <w:rPr>
          <w:rFonts w:ascii="Century Schoolbook" w:hAnsi="Century Schoolbook"/>
          <w:b/>
          <w:color w:val="1F497D"/>
          <w:sz w:val="36"/>
          <w:szCs w:val="48"/>
          <w:lang w:val="fr-BE"/>
        </w:rPr>
        <w:t>1 : Extrait du chapitre 5 du Livre blanc. Défense et sécurité internationale 2013.</w:t>
      </w:r>
    </w:p>
    <w:p w:rsidR="007D48CC" w:rsidRDefault="007D48CC" w:rsidP="007D48CC">
      <w:pPr>
        <w:jc w:val="center"/>
        <w:rPr>
          <w:b/>
          <w:lang w:val="fr-FR"/>
        </w:rPr>
      </w:pPr>
    </w:p>
    <w:p w:rsidR="007D48CC" w:rsidRPr="00CA0FBA" w:rsidRDefault="007D48CC" w:rsidP="007D48CC">
      <w:pPr>
        <w:jc w:val="center"/>
        <w:rPr>
          <w:sz w:val="22"/>
          <w:lang w:val="fr-FR"/>
        </w:rPr>
      </w:pPr>
      <w:r w:rsidRPr="00CA0FBA">
        <w:rPr>
          <w:b/>
          <w:sz w:val="22"/>
          <w:lang w:val="fr-FR"/>
        </w:rPr>
        <w:t>L’engagement de la France dans l’Alliance Atlantique et dans l’Union européenne</w:t>
      </w:r>
    </w:p>
    <w:p w:rsidR="007D48CC" w:rsidRPr="00CA0FBA" w:rsidRDefault="007D48CC" w:rsidP="007D48CC">
      <w:pPr>
        <w:jc w:val="both"/>
        <w:rPr>
          <w:sz w:val="22"/>
          <w:lang w:val="fr-FR"/>
        </w:rPr>
      </w:pPr>
    </w:p>
    <w:p w:rsidR="007D48CC" w:rsidRPr="00CA0FBA" w:rsidRDefault="007D48CC" w:rsidP="007D48CC">
      <w:pPr>
        <w:jc w:val="both"/>
        <w:rPr>
          <w:sz w:val="22"/>
          <w:lang w:val="fr-FR"/>
        </w:rPr>
      </w:pPr>
      <w:r w:rsidRPr="00CA0FBA">
        <w:rPr>
          <w:sz w:val="22"/>
          <w:lang w:val="fr-FR"/>
        </w:rPr>
        <w:t>Notre stratégie de défense et de sécurité nationale ne se conçoit pas en dehors du cadre de l’Alliance Atlantique et de notre engagement dans l’Union européenne. Dans le nouvel environnement stratégique, à la fois plus instable et plus incertain, trois options se révèleraient illusoires pour notre pays :</w:t>
      </w:r>
    </w:p>
    <w:p w:rsidR="007D48CC" w:rsidRPr="00CA0FBA" w:rsidRDefault="007D48CC" w:rsidP="007D48CC">
      <w:pPr>
        <w:jc w:val="both"/>
        <w:rPr>
          <w:sz w:val="22"/>
          <w:lang w:val="fr-FR"/>
        </w:rPr>
      </w:pPr>
      <w:r w:rsidRPr="00CA0FBA">
        <w:rPr>
          <w:sz w:val="22"/>
          <w:lang w:val="fr-FR"/>
        </w:rPr>
        <w:t>- le repli sur soi, autrement dit la défense de nos seuls intérêts vitaux et le renoncement à toutes responsabilités régionales ou mondiales. Notre statut à l’ONU, notre histoire, l’importance de nos intérêts dans le monde, rendent cette option irréaliste et inopportune ;</w:t>
      </w:r>
    </w:p>
    <w:p w:rsidR="007D48CC" w:rsidRPr="00CA0FBA" w:rsidRDefault="007D48CC" w:rsidP="007D48CC">
      <w:pPr>
        <w:jc w:val="both"/>
        <w:rPr>
          <w:sz w:val="22"/>
          <w:lang w:val="fr-FR"/>
        </w:rPr>
      </w:pPr>
      <w:r w:rsidRPr="00CA0FBA">
        <w:rPr>
          <w:sz w:val="22"/>
          <w:lang w:val="fr-FR"/>
        </w:rPr>
        <w:t>- la délégation aux États-Unis et à l’OTAN du soin de notre sécurité future.</w:t>
      </w:r>
    </w:p>
    <w:p w:rsidR="007D48CC" w:rsidRPr="00CA0FBA" w:rsidRDefault="007D48CC" w:rsidP="007D48CC">
      <w:pPr>
        <w:jc w:val="both"/>
        <w:rPr>
          <w:sz w:val="22"/>
          <w:lang w:val="fr-FR"/>
        </w:rPr>
      </w:pPr>
      <w:r w:rsidRPr="00CA0FBA">
        <w:rPr>
          <w:sz w:val="22"/>
          <w:lang w:val="fr-FR"/>
        </w:rPr>
        <w:t>L’Alliance Atlantique est un pilier de la politique de défense française, mais elle doit prendre en compte les différences de priorités qui imposent à chaque membre de cette Alliance de prendre ses responsabilités propres ;</w:t>
      </w:r>
    </w:p>
    <w:p w:rsidR="007D48CC" w:rsidRPr="00CA0FBA" w:rsidRDefault="007D48CC" w:rsidP="007D48CC">
      <w:pPr>
        <w:jc w:val="both"/>
        <w:rPr>
          <w:sz w:val="22"/>
          <w:lang w:val="fr-FR"/>
        </w:rPr>
      </w:pPr>
      <w:r w:rsidRPr="00CA0FBA">
        <w:rPr>
          <w:sz w:val="22"/>
          <w:lang w:val="fr-FR"/>
        </w:rPr>
        <w:t>- l’option d’une défense européenne intégrée. La France réaffirme son ambition en faveur d’une défense européenne crédible et efficace, mais elle ne saurait ignorer les difficultés auxquelles se heurte le développement du cadre européen.</w:t>
      </w:r>
    </w:p>
    <w:p w:rsidR="007D48CC" w:rsidRPr="00CA0FBA" w:rsidRDefault="007D48CC" w:rsidP="007D48CC">
      <w:pPr>
        <w:jc w:val="both"/>
        <w:rPr>
          <w:sz w:val="22"/>
          <w:lang w:val="fr-FR"/>
        </w:rPr>
      </w:pPr>
      <w:r w:rsidRPr="00CA0FBA">
        <w:rPr>
          <w:sz w:val="22"/>
          <w:lang w:val="fr-FR"/>
        </w:rPr>
        <w:t>La stratégie de défense et de sécurité nationale vise à combiner les aspects les plus positifs de chacune de ces trois options : la souveraineté de nos décisions, l’engagement plein dans une Alliance Atlantique dynamique, le volontarisme et l’ambition à l’égard de l’Union européenne.</w:t>
      </w:r>
    </w:p>
    <w:p w:rsidR="007D48CC" w:rsidRPr="00CA0FBA" w:rsidRDefault="007D48CC" w:rsidP="007D48CC">
      <w:pPr>
        <w:jc w:val="both"/>
        <w:rPr>
          <w:sz w:val="22"/>
          <w:lang w:val="fr-FR"/>
        </w:rPr>
      </w:pPr>
      <w:r w:rsidRPr="00CA0FBA">
        <w:rPr>
          <w:sz w:val="22"/>
          <w:lang w:val="fr-FR"/>
        </w:rPr>
        <w:t>L’OTAN et l’Union européenne sont deux organisations de nature différente.0 L’OTAN est une alliance politico-militaire ; l’Union européenne constitue pour ses membres un projet global aux dimensions politique, économique, commerciale, diplomatique et militaire.</w:t>
      </w:r>
    </w:p>
    <w:p w:rsidR="007D48CC" w:rsidRPr="00CA0FBA" w:rsidRDefault="007D48CC" w:rsidP="007D48CC">
      <w:pPr>
        <w:jc w:val="both"/>
        <w:rPr>
          <w:sz w:val="22"/>
          <w:lang w:val="fr-FR"/>
        </w:rPr>
      </w:pPr>
    </w:p>
    <w:p w:rsidR="007D48CC" w:rsidRPr="00CA0FBA" w:rsidRDefault="007D48CC" w:rsidP="007D48CC">
      <w:pPr>
        <w:jc w:val="both"/>
        <w:rPr>
          <w:sz w:val="22"/>
          <w:lang w:val="fr-FR"/>
        </w:rPr>
      </w:pPr>
    </w:p>
    <w:p w:rsidR="007D48CC" w:rsidRPr="00CA0FBA" w:rsidRDefault="007D48CC" w:rsidP="007D48CC">
      <w:pPr>
        <w:pStyle w:val="Paragraphedeliste"/>
        <w:numPr>
          <w:ilvl w:val="2"/>
          <w:numId w:val="16"/>
        </w:numPr>
        <w:suppressAutoHyphens/>
        <w:spacing w:after="0"/>
        <w:contextualSpacing w:val="0"/>
        <w:rPr>
          <w:rFonts w:ascii="Times New Roman" w:hAnsi="Times New Roman"/>
          <w:sz w:val="22"/>
          <w:szCs w:val="20"/>
          <w:lang w:val="fr-FR"/>
        </w:rPr>
      </w:pPr>
      <w:r w:rsidRPr="00CA0FBA">
        <w:rPr>
          <w:rFonts w:ascii="Times New Roman" w:hAnsi="Times New Roman"/>
          <w:b/>
          <w:sz w:val="22"/>
          <w:szCs w:val="20"/>
          <w:lang w:val="fr-FR"/>
        </w:rPr>
        <w:t>La France dans l’OTAN</w:t>
      </w:r>
    </w:p>
    <w:p w:rsidR="007D48CC" w:rsidRPr="00CA0FBA" w:rsidRDefault="007D48CC" w:rsidP="007D48CC">
      <w:pPr>
        <w:pStyle w:val="Paragraphedeliste"/>
        <w:ind w:left="2160"/>
        <w:rPr>
          <w:rFonts w:ascii="Times New Roman" w:hAnsi="Times New Roman"/>
          <w:sz w:val="22"/>
          <w:szCs w:val="20"/>
          <w:lang w:val="fr-FR"/>
        </w:rPr>
      </w:pPr>
    </w:p>
    <w:p w:rsidR="007D48CC" w:rsidRPr="00CA0FBA" w:rsidRDefault="007D48CC" w:rsidP="007D48CC">
      <w:pPr>
        <w:jc w:val="both"/>
        <w:rPr>
          <w:sz w:val="22"/>
          <w:lang w:val="fr-FR"/>
        </w:rPr>
      </w:pPr>
      <w:r w:rsidRPr="00CA0FBA">
        <w:rPr>
          <w:sz w:val="22"/>
          <w:lang w:val="fr-FR"/>
        </w:rPr>
        <w:t>En réintégrant les structures du commandement militaire intégré de l’OTAN, la France a entendu reprendre toute sa place dans le fonctionnement d’une organisation dont elle est l’un des membres fondateurs. Pour la France, qui est désormais pleinement dans l’Alliance Atlantique, celle-ci remplit trois fonctions essentielles. D’une part, elle assure la défense collective de ses membres. D’autre part, elle est un instrument important du partenariat stratégique entre les deux rives de l’Atlantique. Enfin, elle constitue le cadre commun de l’action militaire dès lors que les Alliés veulent intervenir ensemble pour répondre à des risques et à des menaces partagés.</w:t>
      </w:r>
    </w:p>
    <w:p w:rsidR="007D48CC" w:rsidRPr="00CA0FBA" w:rsidRDefault="007D48CC" w:rsidP="007D48CC">
      <w:pPr>
        <w:jc w:val="both"/>
        <w:rPr>
          <w:sz w:val="22"/>
          <w:lang w:val="fr-FR"/>
        </w:rPr>
      </w:pPr>
      <w:r w:rsidRPr="00CA0FBA">
        <w:rPr>
          <w:sz w:val="22"/>
          <w:lang w:val="fr-FR"/>
        </w:rPr>
        <w:t>La France est attachée à conforter la solidité de l’alliance militaire qui rassemble vingt-huit nations résolues à se défendre solidairement contre toute agression armée. Elle sera particulièrement vigilante à l’égard du maintien d’une combinaison appropriée de capacités nucléaires, conventionnelles et de défense antimissile pour la dissuasion et la défense, conformément aux engagements énoncés dans le concept stratégique. Celui-ci réaffirme le rôle des armes nucléaires en tant que garantie suprême de la sécurité et pilier de la doctrine de défense de l’Alliance. Les forces nucléaires stratégiques indépendantes du Royaume-Uni et de la France, qui ont un rôle de dissuasion propre, contribuent à la dissuasion globale et à la sécurité des Alliés.</w:t>
      </w:r>
    </w:p>
    <w:p w:rsidR="007D48CC" w:rsidRPr="00CA0FBA" w:rsidRDefault="007D48CC" w:rsidP="007D48CC">
      <w:pPr>
        <w:jc w:val="both"/>
        <w:rPr>
          <w:sz w:val="22"/>
          <w:lang w:val="fr-FR"/>
        </w:rPr>
      </w:pPr>
      <w:r w:rsidRPr="00CA0FBA">
        <w:rPr>
          <w:sz w:val="22"/>
          <w:lang w:val="fr-FR"/>
        </w:rPr>
        <w:t>L’Alliance Atlantique tient sa force de ce qu’elle est une alliance politico-militaire entre des pays qui partagent des valeurs communes. À ce titre, la France entend utiliser pleinement le cadre politique de l’Alliance pour discuter avec ses alliés des défis communs de sécurité auxquels ils sont confrontés.</w:t>
      </w:r>
    </w:p>
    <w:p w:rsidR="007D48CC" w:rsidRPr="00CA0FBA" w:rsidRDefault="007D48CC" w:rsidP="007D48CC">
      <w:pPr>
        <w:jc w:val="both"/>
        <w:rPr>
          <w:sz w:val="22"/>
          <w:lang w:val="fr-FR"/>
        </w:rPr>
      </w:pPr>
      <w:r w:rsidRPr="00CA0FBA">
        <w:rPr>
          <w:sz w:val="22"/>
          <w:lang w:val="fr-FR"/>
        </w:rPr>
        <w:t xml:space="preserve">Cadre d’action militaire, l’OTAN développe, dès le temps de paix, des procédures et des standards communs, essentiels pour l’interopérabilité des forces. Elle est organisée pour faire face à différents types de conflits, allant de la défense collective à la conduite d’opérations de stabilisation. La défense collective doit rester la pierre angulaire de l’Alliance. L’Alliance doit aussi pouvoir s’engager dans des opérations de gestion de crise, dans le traitement des menaces transverses et dans des activités de sécurité collective. Cet engagement s’impose lorsqu’il découle d’une volonté commune des Alliés d’agir ensemble concrètement et </w:t>
      </w:r>
      <w:r w:rsidRPr="00CA0FBA">
        <w:rPr>
          <w:sz w:val="22"/>
          <w:lang w:val="fr-FR"/>
        </w:rPr>
        <w:lastRenderedPageBreak/>
        <w:t>que la valeur ajoutée de l’Alliance est clairement établie. Les interventions de l’Alliance devront nécessairement s’inscrire dans le cadre de la légalité internationale. Elles bénéficieront éventuellement du soutien des organisations régionales concernées. Leur faisabilité et leur opportunité politique feront l’objet d’une appréciation au cas par cas et seront assorties d’une stratégie politique de sortie de crise.</w:t>
      </w:r>
    </w:p>
    <w:p w:rsidR="007D48CC" w:rsidRPr="00CA0FBA" w:rsidRDefault="007D48CC" w:rsidP="007D48CC">
      <w:pPr>
        <w:jc w:val="both"/>
        <w:rPr>
          <w:sz w:val="22"/>
          <w:lang w:val="fr-FR"/>
        </w:rPr>
      </w:pPr>
      <w:r w:rsidRPr="00CA0FBA">
        <w:rPr>
          <w:sz w:val="22"/>
          <w:lang w:val="fr-FR"/>
        </w:rPr>
        <w:t xml:space="preserve">La France est convaincue qu’une Alliance forte et efficace sert ses intérêts et ceux de l’Europe. L’attribution à un officier général français du poste de commandant suprême allié pour la transformation (SACT) permet à la France de participer activement au processus de rénovation des moyens d’action de l’Alliance. À ce titre, la France continuera d’accorder la priorité à l’adaptation de l’organisation du commandement aux engagements opérationnels les plus probables, à la rationalisation des agences, à l’amélioration de la prévision et de la gestion financière. Allié majeur aux niveaux politique, militaire et financier, elle est également convaincue que la vitalité de l’Alliance sera d’autant mieux assurée que chacun de ses membres y voit ses intérêts propres pleinement reconnus et est incité à prendre toutes ses responsabilités. Les financements en commun doivent être strictement maitrisés et réservés aux projets et activités prioritaires qui bénéficient à l’ensemble des Alliés, et renforcent leur interopérabilité, cœur de la valeur ajoutée de l’Alliance. La France veillera dans ce contexte à ce que soit garantie la capacité des Nations qui le souhaitent d’agir de façon autonome dans d’autres cadres. Pour ce qui la concerne, pleinement engagée dans le commandement militaire allié, elle entend préserver les moyens de sa souveraineté en toute circonstance. Dans le domaine industriel, le cadre de coopération ouvert par la </w:t>
      </w:r>
      <w:r w:rsidRPr="00CA0FBA">
        <w:rPr>
          <w:i/>
          <w:sz w:val="22"/>
          <w:lang w:val="fr-FR"/>
        </w:rPr>
        <w:t xml:space="preserve">smart </w:t>
      </w:r>
      <w:proofErr w:type="spellStart"/>
      <w:r w:rsidRPr="00CA0FBA">
        <w:rPr>
          <w:i/>
          <w:sz w:val="22"/>
          <w:lang w:val="fr-FR"/>
        </w:rPr>
        <w:t>defence</w:t>
      </w:r>
      <w:proofErr w:type="spellEnd"/>
      <w:r w:rsidRPr="00CA0FBA">
        <w:rPr>
          <w:rStyle w:val="Appelnotedebasdep"/>
          <w:sz w:val="22"/>
        </w:rPr>
        <w:footnoteReference w:id="116"/>
      </w:r>
      <w:r w:rsidRPr="00CA0FBA">
        <w:rPr>
          <w:sz w:val="22"/>
          <w:lang w:val="fr-FR"/>
        </w:rPr>
        <w:t xml:space="preserve"> devra prendre en compte la nécessité de promouvoir des projets portés par l’industrie de défense européenne, afin de préserver les atouts de celle-ci dans les technologies de pointe et les productions à haute valeur ajoutée.</w:t>
      </w:r>
    </w:p>
    <w:p w:rsidR="007D48CC" w:rsidRPr="00CA0FBA" w:rsidRDefault="007D48CC" w:rsidP="007D48CC">
      <w:pPr>
        <w:jc w:val="both"/>
        <w:rPr>
          <w:sz w:val="22"/>
          <w:lang w:val="fr-FR"/>
        </w:rPr>
      </w:pPr>
      <w:r w:rsidRPr="00CA0FBA">
        <w:rPr>
          <w:sz w:val="22"/>
          <w:lang w:val="fr-FR"/>
        </w:rPr>
        <w:t>L’OTAN et l’Union européenne ne sont pas en concurrence. Ces deux organisations sont complémentaires, qu’il s’agisse des opérations extérieures ou d’initiatives comme la mutualisation et le partage capacitaire (</w:t>
      </w:r>
      <w:proofErr w:type="spellStart"/>
      <w:r w:rsidRPr="00CA0FBA">
        <w:rPr>
          <w:i/>
          <w:sz w:val="22"/>
          <w:lang w:val="fr-FR"/>
        </w:rPr>
        <w:t>pooling</w:t>
      </w:r>
      <w:proofErr w:type="spellEnd"/>
      <w:r w:rsidRPr="00CA0FBA">
        <w:rPr>
          <w:i/>
          <w:sz w:val="22"/>
          <w:lang w:val="fr-FR"/>
        </w:rPr>
        <w:t xml:space="preserve"> and sharing</w:t>
      </w:r>
      <w:r w:rsidRPr="00CA0FBA">
        <w:rPr>
          <w:rStyle w:val="Appelnotedebasdep"/>
          <w:sz w:val="22"/>
        </w:rPr>
        <w:footnoteReference w:id="117"/>
      </w:r>
      <w:r w:rsidRPr="00CA0FBA">
        <w:rPr>
          <w:sz w:val="22"/>
          <w:lang w:val="fr-FR"/>
        </w:rPr>
        <w:t xml:space="preserve"> et </w:t>
      </w:r>
      <w:r w:rsidRPr="00CA0FBA">
        <w:rPr>
          <w:i/>
          <w:sz w:val="22"/>
          <w:lang w:val="fr-FR"/>
        </w:rPr>
        <w:t xml:space="preserve">smart </w:t>
      </w:r>
      <w:proofErr w:type="spellStart"/>
      <w:r w:rsidRPr="00CA0FBA">
        <w:rPr>
          <w:i/>
          <w:sz w:val="22"/>
          <w:lang w:val="fr-FR"/>
        </w:rPr>
        <w:t>defence</w:t>
      </w:r>
      <w:proofErr w:type="spellEnd"/>
      <w:r w:rsidRPr="00CA0FBA">
        <w:rPr>
          <w:sz w:val="22"/>
          <w:lang w:val="fr-FR"/>
        </w:rPr>
        <w:t>). Grâce à leurs spécificités propres, elles offrent une palette de réponses qui permettent à la France et à ses Alliés de faire face à un spectre toujours plus large de risques et de menaces. Une coopération étroite et pragmatique entre ces deux organisations est un objectif important de la France. L’engagement des États-Unis à participer à la sécurité de l’Europe sera en outre d’autant plus fort que leur appel au partage du fardeau des dépenses militaires sera entendu. Ce partage ne pourra être envisagé de manière satisfaisante que s’il favorise le développement de l’industrie européenne de défense. La France entend donc jouer pleinement son rôle dans l’une comme dans l’autre organisation pour contribuer à la sécurité collective.</w:t>
      </w:r>
    </w:p>
    <w:p w:rsidR="007D48CC" w:rsidRPr="00CA0FBA" w:rsidRDefault="007D48CC" w:rsidP="007D48CC">
      <w:pPr>
        <w:jc w:val="both"/>
        <w:rPr>
          <w:sz w:val="22"/>
          <w:lang w:val="fr-FR"/>
        </w:rPr>
      </w:pPr>
    </w:p>
    <w:p w:rsidR="007D48CC" w:rsidRPr="00CA0FBA" w:rsidRDefault="007D48CC" w:rsidP="007D48CC">
      <w:pPr>
        <w:jc w:val="both"/>
        <w:rPr>
          <w:sz w:val="22"/>
          <w:lang w:val="fr-FR"/>
        </w:rPr>
      </w:pPr>
    </w:p>
    <w:p w:rsidR="007D48CC" w:rsidRPr="00CA0FBA" w:rsidRDefault="007D48CC" w:rsidP="007D48CC">
      <w:pPr>
        <w:pStyle w:val="Paragraphedeliste"/>
        <w:numPr>
          <w:ilvl w:val="2"/>
          <w:numId w:val="16"/>
        </w:numPr>
        <w:suppressAutoHyphens/>
        <w:spacing w:after="0"/>
        <w:contextualSpacing w:val="0"/>
        <w:rPr>
          <w:rFonts w:ascii="Times New Roman" w:hAnsi="Times New Roman"/>
          <w:sz w:val="22"/>
          <w:szCs w:val="20"/>
          <w:lang w:val="fr-FR"/>
        </w:rPr>
      </w:pPr>
      <w:r w:rsidRPr="00CA0FBA">
        <w:rPr>
          <w:rFonts w:ascii="Times New Roman" w:hAnsi="Times New Roman"/>
          <w:b/>
          <w:sz w:val="22"/>
          <w:szCs w:val="20"/>
          <w:lang w:val="fr-FR"/>
        </w:rPr>
        <w:t>La France dans l’Union européenne</w:t>
      </w:r>
    </w:p>
    <w:p w:rsidR="007D48CC" w:rsidRPr="00CA0FBA" w:rsidRDefault="007D48CC" w:rsidP="007D48CC">
      <w:pPr>
        <w:pStyle w:val="Paragraphedeliste"/>
        <w:ind w:left="2160"/>
        <w:rPr>
          <w:rFonts w:ascii="Times New Roman" w:hAnsi="Times New Roman"/>
          <w:sz w:val="22"/>
          <w:szCs w:val="20"/>
          <w:lang w:val="fr-FR"/>
        </w:rPr>
      </w:pPr>
    </w:p>
    <w:p w:rsidR="007D48CC" w:rsidRPr="00CA0FBA" w:rsidRDefault="007D48CC" w:rsidP="007D48CC">
      <w:pPr>
        <w:jc w:val="both"/>
        <w:rPr>
          <w:sz w:val="22"/>
          <w:lang w:val="fr-FR"/>
        </w:rPr>
      </w:pPr>
      <w:r w:rsidRPr="00CA0FBA">
        <w:rPr>
          <w:sz w:val="22"/>
          <w:lang w:val="fr-FR"/>
        </w:rPr>
        <w:t xml:space="preserve">La France partage avec ses partenaires européens la plupart des menaces et des risques auxquels elle est confrontée : la conclusion pragmatique de ce constat est que nous y ferons face plus efficacement si nous nous mettons en mesure d’y répondre ensemble. C’est pourquoi, dans le cadre de sa stratégie de défense et de sécurité nationale, la France considère que la construction européenne en matière de défense et de sécurité est une priorité. Mue par la conviction qu’une réponse européenne serait supérieure à la somme des réponses nationales, elle se tourne vers l’Union européenne avec la volonté d’y apporter sa connaissance des crises et ses propositions concernant les réponses à leur donner. Elle souhaite en retour bénéficier de celles de ses partenaires européens, mais également d’un Service d’action extérieure au rôle renforcé, notamment dans la </w:t>
      </w:r>
      <w:r w:rsidRPr="00CA0FBA">
        <w:rPr>
          <w:sz w:val="22"/>
          <w:lang w:val="fr-FR"/>
        </w:rPr>
        <w:lastRenderedPageBreak/>
        <w:t xml:space="preserve">gestion des crises, ainsi que des atouts représentés par les agences de l’Union européenne (comme par exemple l’Agence européenne de défense, ou le centre satellitaire de </w:t>
      </w:r>
      <w:proofErr w:type="spellStart"/>
      <w:r w:rsidRPr="00CA0FBA">
        <w:rPr>
          <w:sz w:val="22"/>
          <w:lang w:val="fr-FR"/>
        </w:rPr>
        <w:t>Torrejon</w:t>
      </w:r>
      <w:proofErr w:type="spellEnd"/>
      <w:r w:rsidRPr="00CA0FBA">
        <w:rPr>
          <w:sz w:val="22"/>
          <w:lang w:val="fr-FR"/>
        </w:rPr>
        <w:t>).</w:t>
      </w:r>
    </w:p>
    <w:p w:rsidR="007D48CC" w:rsidRPr="00CA0FBA" w:rsidRDefault="007D48CC" w:rsidP="007D48CC">
      <w:pPr>
        <w:jc w:val="both"/>
        <w:rPr>
          <w:sz w:val="22"/>
          <w:lang w:val="fr-FR"/>
        </w:rPr>
      </w:pPr>
      <w:r w:rsidRPr="00CA0FBA">
        <w:rPr>
          <w:sz w:val="22"/>
          <w:lang w:val="fr-FR"/>
        </w:rPr>
        <w:t>La France agira pour que se développe, dans le cadre européen, une vision stratégique fondée sur une analyse partagée des risques et des menaces, qu’il s’agisse des défis touchant à la sécurité intérieure des États de l’Union ou de la politique de sécurité et de défense commune. Les contacts entre parlements nationaux et les débats au sein du Parlement européen contribueront à une appropriation des enjeux stratégiques par les peuples.</w:t>
      </w:r>
    </w:p>
    <w:p w:rsidR="007D48CC" w:rsidRPr="00CA0FBA" w:rsidRDefault="007D48CC" w:rsidP="007D48CC">
      <w:pPr>
        <w:jc w:val="both"/>
        <w:rPr>
          <w:sz w:val="22"/>
          <w:lang w:val="fr-FR"/>
        </w:rPr>
      </w:pPr>
      <w:r w:rsidRPr="00CA0FBA">
        <w:rPr>
          <w:sz w:val="22"/>
          <w:lang w:val="fr-FR"/>
        </w:rPr>
        <w:t xml:space="preserve">Le contexte actuel rend possible et urgente une relance pragmatique de la politique de sécurité et de défense commune (PSDC). La contrainte budgétaire conduit à rechercher une plus grande efficacité de la dépense publique en matière de sécurité et de défense. Le rééquilibrage des capacités militaires américaines vers l’Asie – Pacifique, alors que des foyers d’instabilité se sont développés aux frontières de l’Europe met les États de l’Union devant leurs responsabilités. Les situations de crise pour les quinze à vingt prochaines années relèveront probablement de scénarios appelant une réponse multidimensionnelle, notamment sous la forme d’opérations de stabilisation complexes. Dans cette perspective, le cadre européen a vocation à devenir le cadre de référence dès lors qu’il s’agit de mobiliser toute la gamme des instruments civils et militaires requis pour mettre en </w:t>
      </w:r>
      <w:proofErr w:type="spellStart"/>
      <w:r w:rsidRPr="00CA0FBA">
        <w:rPr>
          <w:sz w:val="22"/>
          <w:lang w:val="fr-FR"/>
        </w:rPr>
        <w:t>oeuvreœuvre</w:t>
      </w:r>
      <w:proofErr w:type="spellEnd"/>
      <w:r w:rsidRPr="00CA0FBA">
        <w:rPr>
          <w:sz w:val="22"/>
          <w:lang w:val="fr-FR"/>
        </w:rPr>
        <w:t xml:space="preserve"> une approche globale des crises. En outre, la France considère que le partenariat qui lie les États-Unis et l’Union européenne sera d’autant plus solide que cette dernière endossera les responsabilités qui lui incombent dans la gestion des crises qui affectent sa sécurité.</w:t>
      </w:r>
    </w:p>
    <w:p w:rsidR="007D48CC" w:rsidRPr="00CA0FBA" w:rsidRDefault="007D48CC" w:rsidP="007D48CC">
      <w:pPr>
        <w:jc w:val="both"/>
        <w:rPr>
          <w:sz w:val="22"/>
          <w:lang w:val="fr-FR"/>
        </w:rPr>
      </w:pPr>
      <w:r w:rsidRPr="00CA0FBA">
        <w:rPr>
          <w:sz w:val="22"/>
          <w:lang w:val="fr-FR"/>
        </w:rPr>
        <w:t>La France considère la politique de sécurité et de défense commune non comme une fin en soi, mais comme un instrument, civil et militaire, au service des intérêts essentiels de l’Union européenne. Les Européens ne sauraient en effet se tenir en retrait du jeu des puissances s’ils veulent contribuer à l’édification d’un ordre international plus stable et y promouvoir les valeurs constitutives de leur identité. L’impulsion doit venir du plus haut niveau politique de l’Union, celui du Conseil européen. Il appartient à cette instance de déterminer le rôle que l’Europe entend jouer sur la scène internationale et la nature de l’ordre mondial que les Européens souhaitent promouvoir dans les enceintes internationales et auprès des autres États. Il doit notamment initier des orientations sur trois sujets majeurs : les missions de la PSDC, les capacités à développer en commun et les stratégies industrielles relatives au domaine de la défense. À terme, un Livre blanc de l’Union européenne, qui définirait plus clairement les intérêts et les objectifs stratégiques de l’Union, pourrait contribuer au débat européen sur la sécurité et la défense et serait l’occasion d’exprimer une vision partagée.</w:t>
      </w:r>
    </w:p>
    <w:p w:rsidR="007D48CC" w:rsidRPr="00CA0FBA" w:rsidRDefault="007D48CC" w:rsidP="007D48CC">
      <w:pPr>
        <w:jc w:val="both"/>
        <w:rPr>
          <w:sz w:val="22"/>
          <w:lang w:val="fr-FR"/>
        </w:rPr>
      </w:pPr>
      <w:r w:rsidRPr="00CA0FBA">
        <w:rPr>
          <w:sz w:val="22"/>
          <w:lang w:val="fr-FR"/>
        </w:rPr>
        <w:t xml:space="preserve">Cette impulsion venue du plus haut niveau politique doit être complétée par une mise en </w:t>
      </w:r>
      <w:proofErr w:type="spellStart"/>
      <w:r w:rsidRPr="00CA0FBA">
        <w:rPr>
          <w:sz w:val="22"/>
          <w:lang w:val="fr-FR"/>
        </w:rPr>
        <w:t>oeuvreœuvre</w:t>
      </w:r>
      <w:proofErr w:type="spellEnd"/>
      <w:r w:rsidRPr="00CA0FBA">
        <w:rPr>
          <w:sz w:val="22"/>
          <w:lang w:val="fr-FR"/>
        </w:rPr>
        <w:t xml:space="preserve"> résolument pragmatique comprenant des actions de prévention, des opérations extérieures conjointes, des programmes communs d’armement et éventuellement la mutualisation de capacités.</w:t>
      </w:r>
    </w:p>
    <w:p w:rsidR="007D48CC" w:rsidRPr="00CA0FBA" w:rsidRDefault="007D48CC" w:rsidP="007D48CC">
      <w:pPr>
        <w:jc w:val="both"/>
        <w:rPr>
          <w:sz w:val="22"/>
          <w:lang w:val="fr-FR"/>
        </w:rPr>
      </w:pPr>
      <w:r w:rsidRPr="00CA0FBA">
        <w:rPr>
          <w:sz w:val="22"/>
          <w:lang w:val="fr-FR"/>
        </w:rPr>
        <w:t>Parce que la stabilisation du voisinage de l’Europe représente un intérêt de sécurité majeur pour tous les pays membres de l’Union, il appartient aux Européens d’agir préventivement sur les foyers de crises émergents. Dans le prolongement des initiatives déjà prises, la sécurité dans les pays de la zone allant du Sahel à l’Afrique équatoriale, la lutte contre toutes les formes de terrorisme, le processus de paix au Proche-Orient, l’aide à la réussite des transitions politiques dans certains pays arabes, le règlement des conflits du Caucase, la consolidation de la paix dans les Balkans et notamment au Kosovo sont autant de sujets sur lesquels l’Union européenne doit continuer de développer ses actions.</w:t>
      </w:r>
    </w:p>
    <w:p w:rsidR="007D48CC" w:rsidRPr="00CA0FBA" w:rsidRDefault="007D48CC" w:rsidP="007D48CC">
      <w:pPr>
        <w:jc w:val="both"/>
        <w:rPr>
          <w:sz w:val="22"/>
          <w:lang w:val="fr-FR"/>
        </w:rPr>
      </w:pPr>
      <w:r w:rsidRPr="00CA0FBA">
        <w:rPr>
          <w:sz w:val="22"/>
          <w:lang w:val="fr-FR"/>
        </w:rPr>
        <w:t>Avec vingt-huit opérations civiles et militaires conduites depuis 2003, l’Union européenne a déjà acquis une réelle expérience en matière de gestion des crises et de maintien de la paix. Ces opérations ont montré que l’Europe peut s’engager sur des théâtres extérieurs. Elles ont permis de tester l’efficacité des concepts d’opération, qu’il s’agisse de lutte contre la piraterie, de l’aide à la reconstruction d’un État de droit, de réformes des systèmes de sécurité ou de la stabilisation des pays en sortie de crise.</w:t>
      </w:r>
    </w:p>
    <w:p w:rsidR="007D48CC" w:rsidRPr="00CA0FBA" w:rsidRDefault="007D48CC" w:rsidP="007D48CC">
      <w:pPr>
        <w:jc w:val="both"/>
        <w:rPr>
          <w:sz w:val="22"/>
          <w:lang w:val="fr-FR"/>
        </w:rPr>
      </w:pPr>
      <w:r w:rsidRPr="00CA0FBA">
        <w:rPr>
          <w:sz w:val="22"/>
          <w:lang w:val="fr-FR"/>
        </w:rPr>
        <w:t xml:space="preserve">Cependant, ces opérations extérieures ont jusqu’à présent montré les limites du volontarisme politique de l’Union. Elles ont souvent été menées en appui d’opérations plus larges ou très circonscrites dans le temps. Ainsi, alors même qu’elle est de plus en plus confrontée à des crises qui appellent des réponses multidimensionnelles, l’Union européenne n’a pas encore tiré parti de tous les moyens dont la Commission et les États membres disposent pour apporter une réponse globale aux crises. Une meilleure coordination des moyens civils et militaires, est nécessaire et les procédures de l’Union doivent être </w:t>
      </w:r>
      <w:proofErr w:type="gramStart"/>
      <w:r w:rsidRPr="00CA0FBA">
        <w:rPr>
          <w:sz w:val="22"/>
          <w:lang w:val="fr-FR"/>
        </w:rPr>
        <w:t>adaptées</w:t>
      </w:r>
      <w:proofErr w:type="gramEnd"/>
      <w:r w:rsidRPr="00CA0FBA">
        <w:rPr>
          <w:sz w:val="22"/>
          <w:lang w:val="fr-FR"/>
        </w:rPr>
        <w:t xml:space="preserve"> à son rôle opérationnel.</w:t>
      </w:r>
    </w:p>
    <w:p w:rsidR="007D48CC" w:rsidRPr="00CA0FBA" w:rsidRDefault="007D48CC" w:rsidP="007D48CC">
      <w:pPr>
        <w:jc w:val="both"/>
        <w:rPr>
          <w:sz w:val="22"/>
          <w:lang w:val="fr-FR"/>
        </w:rPr>
      </w:pPr>
      <w:r w:rsidRPr="00CA0FBA">
        <w:rPr>
          <w:sz w:val="22"/>
          <w:lang w:val="fr-FR"/>
        </w:rPr>
        <w:t xml:space="preserve">La France souhaite que l’Union renforce, de façon pragmatique, la réactivité et les capacités d’intervention des forces qui peuvent être mises à la disposition de la PSDC. Leur formation commune, l’entraînement, la disponibilité et une génération de forces mieux coordonnée entre États européens sont des domaines où les </w:t>
      </w:r>
      <w:r w:rsidRPr="00CA0FBA">
        <w:rPr>
          <w:sz w:val="22"/>
          <w:lang w:val="fr-FR"/>
        </w:rPr>
        <w:lastRenderedPageBreak/>
        <w:t>progrès sont urgents et accessibles. La nécessité pour les Européens de mieux intégrer les capacités civiles et militaires de gestion des crises fait partie des leçons tirées de l’expérience des dix dernières années.</w:t>
      </w:r>
    </w:p>
    <w:p w:rsidR="007D48CC" w:rsidRPr="00CA0FBA" w:rsidRDefault="007D48CC" w:rsidP="007D48CC">
      <w:pPr>
        <w:jc w:val="both"/>
        <w:rPr>
          <w:sz w:val="22"/>
          <w:lang w:val="fr-FR"/>
        </w:rPr>
      </w:pPr>
      <w:r w:rsidRPr="00CA0FBA">
        <w:rPr>
          <w:sz w:val="22"/>
          <w:lang w:val="fr-FR"/>
        </w:rPr>
        <w:t>La France s’efforcera d’avancer dans cette voie avec les États de l’Union qui partagent la même ambition. Elle propose de mieux utiliser les institutions et cadres de concertation existants et de tirer parti de toutes les possibilités ouvertes par les traités, y compris la coopération structurée permanente et les coopérations renforcées. Les coopérations bilatérales entre États membres doivent également contribuer au développement de capacités mieux intégrées comme l’illustrent celles que la France a construites avec l’Allemagne et le Royaume-Uni ou, entre autres, celles qui lient les pays du Benelux.</w:t>
      </w:r>
    </w:p>
    <w:p w:rsidR="007D48CC" w:rsidRPr="00CA0FBA" w:rsidRDefault="007D48CC" w:rsidP="007D48CC">
      <w:pPr>
        <w:jc w:val="both"/>
        <w:rPr>
          <w:sz w:val="22"/>
          <w:lang w:val="fr-FR"/>
        </w:rPr>
      </w:pPr>
      <w:r w:rsidRPr="00CA0FBA">
        <w:rPr>
          <w:sz w:val="22"/>
          <w:lang w:val="fr-FR"/>
        </w:rPr>
        <w:t>La volonté de se projeter n’a de sens que si elle repose sur la possibilité, pour les États qui y souscrivent, de mobiliser des moyens civils et militaires crédibles. La France figure, compte tenu de ses capacités, parmi les États membres susceptibles de jouer un rôle moteur dans le développement de la défense européenne. Elle veillera à disposer des capacités critiques nécessaires aux déploiements (renseignement, surveillance, ravitaillement en vol, transport stratégique, etc.), tout en s’attachant à mutualiser les programmes correspondants avec les États les plus capables d’y contribuer.</w:t>
      </w:r>
    </w:p>
    <w:p w:rsidR="007D48CC" w:rsidRPr="00CA0FBA" w:rsidRDefault="007D48CC" w:rsidP="007D48CC">
      <w:pPr>
        <w:jc w:val="both"/>
        <w:rPr>
          <w:sz w:val="22"/>
          <w:lang w:val="fr-FR"/>
        </w:rPr>
      </w:pPr>
      <w:r w:rsidRPr="00CA0FBA">
        <w:rPr>
          <w:sz w:val="22"/>
          <w:lang w:val="fr-FR"/>
        </w:rPr>
        <w:t>La période de forte contraction budgétaire pour tous les pays européens doit être saisie comme une opportunité pour organiser des interdépendances capacitaires mutuellement consenties. Pour les capacités existantes ou en cours d’acquisition, la France entend résolument s’engager dans l’initiative de mutualisation et de partage capacitaire (</w:t>
      </w:r>
      <w:r w:rsidRPr="00CA0FBA">
        <w:rPr>
          <w:i/>
          <w:sz w:val="22"/>
          <w:lang w:val="fr-FR"/>
        </w:rPr>
        <w:t>Pooling and sharing</w:t>
      </w:r>
      <w:r w:rsidRPr="00CA0FBA">
        <w:rPr>
          <w:sz w:val="22"/>
          <w:lang w:val="fr-FR"/>
        </w:rPr>
        <w:t>) adoptée en 2010 par les ministres de la défense de l’Union européenne. Au regard de cet objectif, elle souligne le rôle important joué par l’Agence européenne de défense, à laquelle il revient d’identifier des programmes qui pourraient être développés en commun, de tester leur faisabilité et d’organiser leur montage.</w:t>
      </w:r>
    </w:p>
    <w:p w:rsidR="007D48CC" w:rsidRPr="00CA0FBA" w:rsidRDefault="007D48CC" w:rsidP="007D48CC">
      <w:pPr>
        <w:jc w:val="both"/>
        <w:rPr>
          <w:sz w:val="22"/>
          <w:lang w:val="fr-FR"/>
        </w:rPr>
      </w:pPr>
      <w:r w:rsidRPr="00CA0FBA">
        <w:rPr>
          <w:sz w:val="22"/>
          <w:lang w:val="fr-FR"/>
        </w:rPr>
        <w:t>La France constate qu’avec l’Organisation conjointe de coopération en matière d’armement (OCCAR), l’Europe dispose, pour les États qui en sont membres, d’un instrument approprié de gestion de programmes. Elle considère par ailleurs que les coopérations, avec un ou plusieurs États, en matière de programmes d’armement doivent être envisagées non pas comme des alternatives ou des substituts, mais comme des leviers supplémentaires pour susciter une dynamique capacitaire européenne à laquelle les États aux ressources plus modestes peuvent trouver avantage à se joindre.</w:t>
      </w:r>
    </w:p>
    <w:p w:rsidR="007D48CC" w:rsidRPr="00CA0FBA" w:rsidRDefault="007D48CC" w:rsidP="007D48CC">
      <w:pPr>
        <w:jc w:val="both"/>
        <w:rPr>
          <w:sz w:val="22"/>
          <w:lang w:val="fr-FR"/>
        </w:rPr>
      </w:pPr>
      <w:r w:rsidRPr="00CA0FBA">
        <w:rPr>
          <w:sz w:val="22"/>
          <w:lang w:val="fr-FR"/>
        </w:rPr>
        <w:t>Le développement du marché européen de la défense et la consolidation de la base industrielle et technologique de défense européenne (BITD-E) dans le secteur de l’armement font partie des priorités stratégiques de notre pays.</w:t>
      </w:r>
    </w:p>
    <w:p w:rsidR="007D48CC" w:rsidRPr="00CA0FBA" w:rsidRDefault="007D48CC" w:rsidP="007D48CC">
      <w:pPr>
        <w:jc w:val="both"/>
        <w:rPr>
          <w:sz w:val="22"/>
          <w:lang w:val="fr-FR"/>
        </w:rPr>
      </w:pPr>
      <w:r w:rsidRPr="00CA0FBA">
        <w:rPr>
          <w:sz w:val="22"/>
          <w:lang w:val="fr-FR"/>
        </w:rPr>
        <w:t xml:space="preserve">Dans le cadre de la </w:t>
      </w:r>
      <w:r w:rsidRPr="00CA0FBA">
        <w:rPr>
          <w:i/>
          <w:sz w:val="22"/>
          <w:lang w:val="fr-FR"/>
        </w:rPr>
        <w:t xml:space="preserve">smart </w:t>
      </w:r>
      <w:proofErr w:type="spellStart"/>
      <w:r w:rsidRPr="00CA0FBA">
        <w:rPr>
          <w:i/>
          <w:sz w:val="22"/>
          <w:lang w:val="fr-FR"/>
        </w:rPr>
        <w:t>defence</w:t>
      </w:r>
      <w:proofErr w:type="spellEnd"/>
      <w:r w:rsidRPr="00CA0FBA">
        <w:rPr>
          <w:sz w:val="22"/>
          <w:lang w:val="fr-FR"/>
        </w:rPr>
        <w:t xml:space="preserve">, mise en œuvre au sein de l’OTAN, la France entend, avec ses partenaires européens de l’Alliance, promouvoir des initiatives capacitaires qui contribuent au soutien de la BITD-E. À cet égard, il est important que les démarches de </w:t>
      </w:r>
      <w:r w:rsidRPr="00CA0FBA">
        <w:rPr>
          <w:i/>
          <w:sz w:val="22"/>
          <w:lang w:val="fr-FR"/>
        </w:rPr>
        <w:t xml:space="preserve">smart </w:t>
      </w:r>
      <w:proofErr w:type="spellStart"/>
      <w:r w:rsidRPr="00CA0FBA">
        <w:rPr>
          <w:i/>
          <w:sz w:val="22"/>
          <w:lang w:val="fr-FR"/>
        </w:rPr>
        <w:t>defence</w:t>
      </w:r>
      <w:proofErr w:type="spellEnd"/>
      <w:r w:rsidRPr="00CA0FBA">
        <w:rPr>
          <w:sz w:val="22"/>
          <w:lang w:val="fr-FR"/>
        </w:rPr>
        <w:t xml:space="preserve"> de l’OTAN et de mutualisation et partage (</w:t>
      </w:r>
      <w:proofErr w:type="spellStart"/>
      <w:r w:rsidRPr="00CA0FBA">
        <w:rPr>
          <w:i/>
          <w:sz w:val="22"/>
          <w:lang w:val="fr-FR"/>
        </w:rPr>
        <w:t>pooling</w:t>
      </w:r>
      <w:proofErr w:type="spellEnd"/>
      <w:r w:rsidRPr="00CA0FBA">
        <w:rPr>
          <w:i/>
          <w:sz w:val="22"/>
          <w:lang w:val="fr-FR"/>
        </w:rPr>
        <w:t xml:space="preserve"> and sharing</w:t>
      </w:r>
      <w:r w:rsidRPr="00CA0FBA">
        <w:rPr>
          <w:sz w:val="22"/>
          <w:lang w:val="fr-FR"/>
        </w:rPr>
        <w:t>) de l’Union européenne soient coordonnées notamment à travers un dialogue dense entre l’OTAN et l’AED. Par ailleurs, la France se félicite que, dans la perspective du conseil européen de décembre 2013, la Commission ait engagé des travaux sur les questions propres à la défense qui illustrent le caractère spécifique de l’industrie de ce secteur dans le marché européen La sécurité est un domaine où les progrès accomplis au niveau européen en matière d’intégration et de coordination sont déjà substantiels. Le programme de Stockholm 2010-2014 et la stratégie de sécurité intérieure arrêtés par le Conseil européen ont permis à l’Europe de se doter d’une approche globale des grands enjeux de sécurité intérieure, qui reconnaît la continuité existant entre la sécurité intérieure et la sécurité extérieure et exprime la solidarité entre les États membres. Toutefois, la stratégie de sécurité intérieure laisse encore de côté certains programmes d’action dont la mise en œuvre relève toujours d’une démarche spécifique (par exemple en matière de protection des infrastructures critiques européennes, de renforcement de la coordination politique en cas de crise majeure,...). La France souhaite que se poursuive et s’intensifie la construction européenne en matière de sécurité intérieure et que l’extension des domaines qu’elle recouvre débouche en ce domaine sur l’élaboration d’une stratégie davantage intégrée. Elle est donc disposée à développer des projets communs à l’image des coopérations déjà conduites dans les domaines judiciaire, des migrations et de la santé. Elle souhaite également que se développent des initiatives conduisant à la mutualisation d’équipements de sécurité intérieure mis à disposition par les États membres.</w:t>
      </w:r>
    </w:p>
    <w:p w:rsidR="007D48CC" w:rsidRPr="00CA0FBA" w:rsidRDefault="007D48CC" w:rsidP="007D48CC">
      <w:pPr>
        <w:jc w:val="both"/>
        <w:rPr>
          <w:sz w:val="22"/>
          <w:lang w:val="fr-FR"/>
        </w:rPr>
      </w:pPr>
    </w:p>
    <w:p w:rsidR="007D48CC" w:rsidRPr="00CA0FBA" w:rsidRDefault="007D48CC">
      <w:pPr>
        <w:rPr>
          <w:b/>
          <w:sz w:val="22"/>
          <w:lang w:val="fr-FR"/>
        </w:rPr>
      </w:pPr>
      <w:r w:rsidRPr="00CA0FBA">
        <w:rPr>
          <w:b/>
          <w:sz w:val="22"/>
          <w:lang w:val="fr-FR"/>
        </w:rPr>
        <w:br w:type="page"/>
      </w:r>
    </w:p>
    <w:p w:rsidR="005816D8" w:rsidRDefault="005816D8" w:rsidP="007D48CC">
      <w:pPr>
        <w:jc w:val="both"/>
        <w:rPr>
          <w:rFonts w:asciiTheme="minorHAnsi" w:hAnsiTheme="minorHAnsi" w:cstheme="minorHAnsi"/>
          <w:b/>
          <w:lang w:val="fr-FR"/>
        </w:rPr>
      </w:pPr>
    </w:p>
    <w:p w:rsidR="005816D8" w:rsidRDefault="005816D8">
      <w:pPr>
        <w:rPr>
          <w:rFonts w:asciiTheme="minorHAnsi" w:hAnsiTheme="minorHAnsi" w:cstheme="minorHAnsi"/>
          <w:b/>
          <w:lang w:val="fr-FR"/>
        </w:rPr>
      </w:pPr>
    </w:p>
    <w:p w:rsidR="007D48CC" w:rsidRPr="007D48CC" w:rsidRDefault="00603254" w:rsidP="007D48CC">
      <w:pPr>
        <w:jc w:val="both"/>
        <w:rPr>
          <w:rFonts w:asciiTheme="minorHAnsi" w:hAnsiTheme="minorHAnsi" w:cstheme="minorHAnsi"/>
          <w:b/>
          <w:lang w:val="fr-FR"/>
        </w:rPr>
      </w:pPr>
      <w:r w:rsidRPr="00603254">
        <w:rPr>
          <w:noProof/>
          <w:sz w:val="18"/>
          <w:szCs w:val="24"/>
        </w:rPr>
        <w:pict>
          <v:rect id="_x0000_s1040" style="position:absolute;left:0;text-align:left;margin-left:-3.6pt;margin-top:11.15pt;width:36pt;height:63pt;z-index:2518138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" fillcolor="#1f497d" stroked="f" strokeweight="0" insetpen="t">
            <v:shadow color="#ccc"/>
            <v:textbox inset="2.88pt,2.88pt,2.88pt,2.88pt"/>
          </v:rect>
        </w:pict>
      </w:r>
    </w:p>
    <w:p w:rsidR="005816D8" w:rsidRDefault="007D48CC" w:rsidP="007D48CC">
      <w:pPr>
        <w:spacing w:after="360"/>
        <w:ind w:left="720"/>
        <w:jc w:val="both"/>
        <w:rPr>
          <w:rFonts w:ascii="Century Schoolbook" w:hAnsi="Century Schoolbook"/>
          <w:b/>
          <w:color w:val="1F497D"/>
          <w:sz w:val="36"/>
          <w:szCs w:val="36"/>
          <w:lang w:val="fr-BE"/>
        </w:rPr>
      </w:pPr>
      <w:r w:rsidRPr="007D48CC">
        <w:rPr>
          <w:rFonts w:ascii="Century Schoolbook" w:hAnsi="Century Schoolbook"/>
          <w:b/>
          <w:color w:val="1F497D"/>
          <w:sz w:val="36"/>
          <w:szCs w:val="36"/>
          <w:lang w:val="fr-BE"/>
        </w:rPr>
        <w:t>Annexe 2 : Discours de Laurent Fabius, ministre des Affaires étrangères « Comment re</w:t>
      </w:r>
      <w:r w:rsidR="006057BF">
        <w:rPr>
          <w:rFonts w:ascii="Century Schoolbook" w:hAnsi="Century Schoolbook"/>
          <w:b/>
          <w:color w:val="1F497D"/>
          <w:sz w:val="36"/>
          <w:szCs w:val="36"/>
          <w:lang w:val="fr-BE"/>
        </w:rPr>
        <w:t>lancer l’Europe de la défense ? »</w:t>
      </w:r>
    </w:p>
    <w:p w:rsidR="007D48CC" w:rsidRPr="005816D8" w:rsidRDefault="007D48CC" w:rsidP="005816D8">
      <w:pPr>
        <w:spacing w:after="360"/>
        <w:jc w:val="center"/>
        <w:rPr>
          <w:rFonts w:ascii="Century Schoolbook" w:hAnsi="Century Schoolbook"/>
          <w:b/>
          <w:color w:val="1F497D"/>
          <w:sz w:val="24"/>
          <w:szCs w:val="36"/>
          <w:lang w:val="fr-BE"/>
        </w:rPr>
      </w:pPr>
      <w:r w:rsidRPr="005816D8">
        <w:rPr>
          <w:rFonts w:ascii="Century Schoolbook" w:hAnsi="Century Schoolbook"/>
          <w:b/>
          <w:color w:val="1F497D"/>
          <w:sz w:val="24"/>
          <w:szCs w:val="36"/>
          <w:lang w:val="fr-BE"/>
        </w:rPr>
        <w:t>Conférence parlementaire – Assemblée nationale (11 juillet 2013)</w:t>
      </w:r>
    </w:p>
    <w:p w:rsidR="007D48CC" w:rsidRDefault="007D48CC" w:rsidP="007D48CC">
      <w:pPr>
        <w:spacing w:before="28" w:after="28"/>
        <w:rPr>
          <w:lang w:val="fr-FR"/>
        </w:rPr>
      </w:pPr>
    </w:p>
    <w:p w:rsidR="007D48CC" w:rsidRPr="00B04060" w:rsidRDefault="007D48CC" w:rsidP="007D48CC">
      <w:pPr>
        <w:spacing w:before="28" w:after="28"/>
        <w:jc w:val="both"/>
        <w:rPr>
          <w:sz w:val="22"/>
          <w:lang w:val="fr-FR"/>
        </w:rPr>
      </w:pPr>
      <w:r w:rsidRPr="00B04060">
        <w:rPr>
          <w:sz w:val="22"/>
          <w:lang w:val="fr-FR"/>
        </w:rPr>
        <w:t>La défense concerne le cœur de la souveraineté des Etats. C’est pourquoi il est apparu nécessaire depuis longtemps d’ancrer la construction européenne dans une approche commune, voire un partage de notre défense. C’est aussi la raison pour laquelle cet objectif est particulièrement difficile à mettre en œuvre – je n’ai pas besoin d’évoquer longuement la CED.</w:t>
      </w:r>
    </w:p>
    <w:p w:rsidR="007D48CC" w:rsidRPr="00B04060" w:rsidRDefault="007D48CC" w:rsidP="007D48CC">
      <w:pPr>
        <w:spacing w:before="28" w:after="28"/>
        <w:jc w:val="both"/>
        <w:rPr>
          <w:sz w:val="22"/>
          <w:lang w:val="fr-FR"/>
        </w:rPr>
      </w:pPr>
      <w:r w:rsidRPr="00B04060">
        <w:rPr>
          <w:sz w:val="22"/>
          <w:lang w:val="fr-FR"/>
        </w:rPr>
        <w:t>Plus d’un demi-siècle après, les paramètres ont beaucoup changé. L’Europe de la défense apparaît comme une nécessité pour la défense de l’Europe. C’est ainsi que nous abordons le sujet : non pas de manière théorique ou théologique, mais de manière pragmatique. L’Europe de la défense est une réponse nécessaire à des défis qui s’imposent à nous.</w:t>
      </w:r>
    </w:p>
    <w:p w:rsidR="007D48CC" w:rsidRPr="00B04060" w:rsidRDefault="007D48CC" w:rsidP="007D48CC">
      <w:pPr>
        <w:spacing w:before="28" w:after="28"/>
        <w:jc w:val="both"/>
        <w:rPr>
          <w:sz w:val="22"/>
          <w:lang w:val="fr-FR"/>
        </w:rPr>
      </w:pPr>
      <w:r w:rsidRPr="00B04060">
        <w:rPr>
          <w:sz w:val="22"/>
          <w:lang w:val="fr-FR"/>
        </w:rPr>
        <w:t>* *</w:t>
      </w:r>
    </w:p>
    <w:p w:rsidR="007D48CC" w:rsidRPr="00B04060" w:rsidRDefault="007D48CC" w:rsidP="007D48CC">
      <w:pPr>
        <w:spacing w:before="28" w:after="28"/>
        <w:jc w:val="both"/>
        <w:rPr>
          <w:sz w:val="22"/>
          <w:lang w:val="fr-FR"/>
        </w:rPr>
      </w:pPr>
      <w:r w:rsidRPr="00B04060">
        <w:rPr>
          <w:sz w:val="22"/>
          <w:lang w:val="fr-FR"/>
        </w:rPr>
        <w:t>Les défis, ce sont d’abord les menaces ou, plus modestement, les risques qui peuvent exister pour la sécurité de l’Europe et de la France. J’en évoquerai quelques-uns.</w:t>
      </w:r>
    </w:p>
    <w:p w:rsidR="007D48CC" w:rsidRPr="00B04060" w:rsidRDefault="007D48CC" w:rsidP="007D48CC">
      <w:pPr>
        <w:spacing w:before="28" w:after="28"/>
        <w:jc w:val="both"/>
        <w:rPr>
          <w:sz w:val="22"/>
          <w:lang w:val="fr-FR"/>
        </w:rPr>
      </w:pPr>
      <w:r w:rsidRPr="00B04060">
        <w:rPr>
          <w:sz w:val="22"/>
          <w:lang w:val="fr-FR"/>
        </w:rPr>
        <w:t xml:space="preserve">La politique de puissance et de souveraineté de la Russie peut aboutir à des tensions. L’affirmation économique de la Chine et l’augmentation de son budget de défense, comme celle d’autres pays asiatiques, conjuguées à de nombreux conflits territoriaux s’accompagne d’un surcroit d’instabilité en Asie. Le développement des crises et des risques dans le voisinage immédiat de l ’Europe est susceptible d’affecter notre sécurité. A l’est demeurent des fragilités dans des Etats issus de l’ex-URSS et de l’ex-Yougoslavie. Dans notre voisinage méditerranéen, de nombreux pays traversent une transition démocratique au prix d’une grande instabilité, de tragédies et d’incertitudes, comme la Syrie, l’Egypte, la Libye et d’autres. En Afrique, en dépit du potentiel de croissance, on trouve toute la palette des risques pour la sécurité résultant de l’absence d’Etat dans certains pays, des inégalités, des trafics, de la corruption… S’ajoutent des menaces plus diffuses, mais non moins redoutables : prolifération, </w:t>
      </w:r>
      <w:proofErr w:type="spellStart"/>
      <w:r w:rsidRPr="00B04060">
        <w:rPr>
          <w:sz w:val="22"/>
          <w:lang w:val="fr-FR"/>
        </w:rPr>
        <w:t>cyberguerre</w:t>
      </w:r>
      <w:proofErr w:type="spellEnd"/>
      <w:r w:rsidRPr="00B04060">
        <w:rPr>
          <w:sz w:val="22"/>
          <w:lang w:val="fr-FR"/>
        </w:rPr>
        <w:t>, terrorisme… Face à ces risques, l’évolution des priorités stratégiques américaines avec un certain désengagement du champ européen au profit de l’Asie laisse l’Europe, pour la première fois depuis la fin de la seconde guerre mondiale, davantage seule face à ses responsabilités.</w:t>
      </w:r>
    </w:p>
    <w:p w:rsidR="007D48CC" w:rsidRPr="00B04060" w:rsidRDefault="007D48CC" w:rsidP="007D48CC">
      <w:pPr>
        <w:spacing w:before="28" w:after="28"/>
        <w:jc w:val="both"/>
        <w:rPr>
          <w:sz w:val="22"/>
          <w:lang w:val="fr-FR"/>
        </w:rPr>
      </w:pPr>
      <w:r w:rsidRPr="00B04060">
        <w:rPr>
          <w:sz w:val="22"/>
          <w:lang w:val="fr-FR"/>
        </w:rPr>
        <w:t>Or, dans le même temps, les pays européens doivent faire face à des contraintes budgétaires qui ne sont pas compatibles avec une augmentation de nos budgets de défense. Nos pays sont confrontés à des limitations de développements capacitaires, certains à des coupes significatives.</w:t>
      </w:r>
    </w:p>
    <w:p w:rsidR="007D48CC" w:rsidRPr="00B04060" w:rsidRDefault="007D48CC" w:rsidP="007D48CC">
      <w:pPr>
        <w:spacing w:before="28" w:after="28"/>
        <w:jc w:val="both"/>
        <w:rPr>
          <w:sz w:val="22"/>
          <w:lang w:val="fr-FR"/>
        </w:rPr>
      </w:pPr>
      <w:r w:rsidRPr="00B04060">
        <w:rPr>
          <w:sz w:val="22"/>
          <w:lang w:val="fr-FR"/>
        </w:rPr>
        <w:t>Vous connaissez l’équation – persistance ou augmentation des menaces contre limitation ou diminution des moyens. Face à elle, l’Europe de la défense constitue une réponse évidente. Nous sommes dans l’obligation de mutualiser, de partager, de trouver des points de cohérence si nous voulons conserver notre crédibilité, éviter un déclassement stratégique et rester capables d’assurer la sécurité de notre continent et de nos ressortissants.</w:t>
      </w:r>
    </w:p>
    <w:p w:rsidR="007D48CC" w:rsidRPr="00B04060" w:rsidRDefault="007D48CC" w:rsidP="007D48CC">
      <w:pPr>
        <w:spacing w:before="28" w:after="28"/>
        <w:jc w:val="both"/>
        <w:rPr>
          <w:sz w:val="22"/>
          <w:lang w:val="fr-FR"/>
        </w:rPr>
      </w:pPr>
      <w:r w:rsidRPr="00B04060">
        <w:rPr>
          <w:sz w:val="22"/>
          <w:lang w:val="fr-FR"/>
        </w:rPr>
        <w:t>Les opinions publiques ont d’ailleurs compris cette situation. Il faut le noter, parce que ce n’est pas le cas dans tous les domaines de la coopération européenne. Nos concitoyens sont demandeurs d’Europe de la défense, perçue comme un facteur d’efficacité et d’économies.</w:t>
      </w:r>
    </w:p>
    <w:p w:rsidR="007D48CC" w:rsidRPr="00B04060" w:rsidRDefault="007D48CC" w:rsidP="007D48CC">
      <w:pPr>
        <w:spacing w:before="28" w:after="28"/>
        <w:jc w:val="both"/>
        <w:rPr>
          <w:sz w:val="22"/>
          <w:lang w:val="fr-FR"/>
        </w:rPr>
      </w:pPr>
      <w:r w:rsidRPr="00B04060">
        <w:rPr>
          <w:sz w:val="22"/>
          <w:lang w:val="fr-FR"/>
        </w:rPr>
        <w:t>* *</w:t>
      </w:r>
    </w:p>
    <w:p w:rsidR="007D48CC" w:rsidRPr="00B04060" w:rsidRDefault="007D48CC" w:rsidP="007D48CC">
      <w:pPr>
        <w:spacing w:before="28" w:after="28"/>
        <w:jc w:val="both"/>
        <w:rPr>
          <w:sz w:val="22"/>
          <w:lang w:val="fr-FR"/>
        </w:rPr>
      </w:pPr>
      <w:r w:rsidRPr="00B04060">
        <w:rPr>
          <w:sz w:val="22"/>
          <w:lang w:val="fr-FR"/>
        </w:rPr>
        <w:t>Pour avancer, nous pouvons nous appuyer sur certains acquis significatifs et peu connus.</w:t>
      </w:r>
    </w:p>
    <w:p w:rsidR="007D48CC" w:rsidRPr="00B04060" w:rsidRDefault="007D48CC" w:rsidP="007D48CC">
      <w:pPr>
        <w:spacing w:before="28" w:after="28"/>
        <w:jc w:val="both"/>
        <w:rPr>
          <w:sz w:val="22"/>
          <w:lang w:val="fr-FR"/>
        </w:rPr>
      </w:pPr>
      <w:r w:rsidRPr="00B04060">
        <w:rPr>
          <w:sz w:val="22"/>
          <w:lang w:val="fr-FR"/>
        </w:rPr>
        <w:t>Avec le temps, les Européens ont développé une conception mieux partagée des intérêts de sécurité. Même si des différences demeurent, les perceptions des enjeux de sécurité se rapprochent. La stratégie européenne de sécurité adoptée en 2003 y a contribué.</w:t>
      </w:r>
    </w:p>
    <w:p w:rsidR="007D48CC" w:rsidRPr="00B04060" w:rsidRDefault="007D48CC" w:rsidP="007D48CC">
      <w:pPr>
        <w:spacing w:before="28" w:after="28"/>
        <w:jc w:val="both"/>
        <w:rPr>
          <w:sz w:val="22"/>
          <w:lang w:val="fr-FR"/>
        </w:rPr>
      </w:pPr>
      <w:r w:rsidRPr="00B04060">
        <w:rPr>
          <w:sz w:val="22"/>
          <w:lang w:val="fr-FR"/>
        </w:rPr>
        <w:lastRenderedPageBreak/>
        <w:t>L’Union a commencé à avancer autour d’une politique étrangère et de sécurité commune dont nous voyons aujourd’hui certains résultats en termes de solidarité et de force d’entrainement, notamment en matière d’action civile sur certains grands enjeux de sécurité - positions communes, régimes de sanctions, aide économique et financière. En termes de gestion de crise et de prévention des conflits, l’Europe s’est dotée d’outils qu’il était difficile d’imaginer quand les bases du projet de défense commune ont été posées à Saint-Malo en 1998. En une décennie, l’Union a réussi à mettre en place des structures politico-militaires, un mécanisme de financement des opérations militaires et une force de réaction rapide avec des Groupements tactiques et un centre opérationnel, embryon de quartier-général européen. Sur cette base, l’Union a lancé 27 opérations civiles et militaires sur 3 continents : 11 sont achevées, 14 sont actuellement en cours (3 en Europe - Balkans et Caucase -, 4 en Asie, au Moyen Orient et en Asie centrale, 7 en Afrique) et 2 sont en cours de planification.</w:t>
      </w:r>
    </w:p>
    <w:p w:rsidR="007D48CC" w:rsidRPr="00B04060" w:rsidRDefault="007D48CC" w:rsidP="007D48CC">
      <w:pPr>
        <w:spacing w:before="28" w:after="28"/>
        <w:jc w:val="both"/>
        <w:rPr>
          <w:sz w:val="22"/>
          <w:lang w:val="fr-FR"/>
        </w:rPr>
      </w:pPr>
      <w:r w:rsidRPr="00B04060">
        <w:rPr>
          <w:sz w:val="22"/>
          <w:lang w:val="fr-FR"/>
        </w:rPr>
        <w:t>Le traité de Lisbonne peut permettre des avancées, en renforçant la cohérence de l’action extérieure autour du SEAE au profit de l’affirmation d’un rôle mondial de l’UE, en élargissant le champ des missions de l’Union, en améliorant la solidarité entre les Etats européens pour assurer leur défense et leur sécurité.</w:t>
      </w:r>
    </w:p>
    <w:p w:rsidR="007D48CC" w:rsidRPr="00B04060" w:rsidRDefault="007D48CC" w:rsidP="007D48CC">
      <w:pPr>
        <w:spacing w:before="28" w:after="28"/>
        <w:jc w:val="both"/>
        <w:rPr>
          <w:sz w:val="22"/>
          <w:lang w:val="fr-FR"/>
        </w:rPr>
      </w:pPr>
      <w:r w:rsidRPr="00B04060">
        <w:rPr>
          <w:sz w:val="22"/>
          <w:lang w:val="fr-FR"/>
        </w:rPr>
        <w:t>* *</w:t>
      </w:r>
    </w:p>
    <w:p w:rsidR="007D48CC" w:rsidRPr="00B04060" w:rsidRDefault="007D48CC" w:rsidP="007D48CC">
      <w:pPr>
        <w:spacing w:before="28" w:after="28"/>
        <w:jc w:val="both"/>
        <w:rPr>
          <w:sz w:val="22"/>
          <w:lang w:val="fr-FR"/>
        </w:rPr>
      </w:pPr>
      <w:r w:rsidRPr="00B04060">
        <w:rPr>
          <w:sz w:val="22"/>
          <w:lang w:val="fr-FR"/>
        </w:rPr>
        <w:t>Mais il y a encore énormément à faire et des divergences demeurent. Les outils et les structures de gestion de crise existent mais leur mise en œuvre et leur mobilisation sont lentes et la réactivité des Européens dans la réponse à une crise est encore insatisfaisante.</w:t>
      </w:r>
    </w:p>
    <w:p w:rsidR="007D48CC" w:rsidRPr="00B04060" w:rsidRDefault="007D48CC" w:rsidP="007D48CC">
      <w:pPr>
        <w:spacing w:before="28" w:after="28"/>
        <w:jc w:val="both"/>
        <w:rPr>
          <w:sz w:val="22"/>
          <w:lang w:val="fr-FR"/>
        </w:rPr>
      </w:pPr>
      <w:r w:rsidRPr="00B04060">
        <w:rPr>
          <w:sz w:val="22"/>
          <w:lang w:val="fr-FR"/>
        </w:rPr>
        <w:t>Les Européens souffrent souvent d’une absence d’évaluation commune des problèmes ou des situations sur le terrain et d’une insuffisante définition des priorités qui devraient les unir dans l’action.</w:t>
      </w:r>
    </w:p>
    <w:p w:rsidR="007D48CC" w:rsidRPr="00B04060" w:rsidRDefault="007D48CC" w:rsidP="007D48CC">
      <w:pPr>
        <w:spacing w:before="28" w:after="28"/>
        <w:jc w:val="both"/>
        <w:rPr>
          <w:sz w:val="22"/>
          <w:lang w:val="fr-FR"/>
        </w:rPr>
      </w:pPr>
      <w:r w:rsidRPr="00B04060">
        <w:rPr>
          <w:sz w:val="22"/>
          <w:lang w:val="fr-FR"/>
        </w:rPr>
        <w:t>Aujourd’hui, en grande partie en raison des lacunes européennes en termes de capacité – en matière de transport stratégique, de ravitaillement aérien, d’observations aérienne et spatiale, on l’a vu au Mali -, le moteur opérationnel de la politique de sécurité et de défense commune n’est pas suffisant. L’Europe se cantonne trop souvent à des missions civiles de formation au détriment d’opérations militaires de stabilisation. Pour donner corps et crédibilité à l’action extérieure européenne, celle-ci doit pouvoir s’appuyer sur tous les moyens d’action couvrant les différents aspects d’une crise.</w:t>
      </w:r>
    </w:p>
    <w:p w:rsidR="007D48CC" w:rsidRPr="00B04060" w:rsidRDefault="007D48CC" w:rsidP="007D48CC">
      <w:pPr>
        <w:spacing w:before="28" w:after="28"/>
        <w:jc w:val="both"/>
        <w:rPr>
          <w:sz w:val="22"/>
          <w:lang w:val="fr-FR"/>
        </w:rPr>
      </w:pPr>
      <w:r w:rsidRPr="00B04060">
        <w:rPr>
          <w:sz w:val="22"/>
          <w:lang w:val="fr-FR"/>
        </w:rPr>
        <w:t>La coopération en matière d’armement est faible et les sources de malentendus et d’incompréhensions existent. Or, l’Europe de la défense ne saurait se limiter à une ossature purement institutionnelle et procédurale ; sa substance doit être ce que l’industrie de défense sait produire. Il est illusoire de penser que nous pourrons relever les défis industriels individuellement : les contraintes budgétaires et le renforcement de la concurrence internationale, notamment en Asie, nous imposent des partenariats, des regroupements et des partages de taches.</w:t>
      </w:r>
    </w:p>
    <w:p w:rsidR="007D48CC" w:rsidRPr="00B04060" w:rsidRDefault="007D48CC" w:rsidP="007D48CC">
      <w:pPr>
        <w:spacing w:before="28" w:after="28"/>
        <w:jc w:val="both"/>
        <w:rPr>
          <w:sz w:val="22"/>
          <w:lang w:val="fr-FR"/>
        </w:rPr>
      </w:pPr>
      <w:r w:rsidRPr="00B04060">
        <w:rPr>
          <w:sz w:val="22"/>
          <w:lang w:val="fr-FR"/>
        </w:rPr>
        <w:t>* *</w:t>
      </w:r>
    </w:p>
    <w:p w:rsidR="007D48CC" w:rsidRPr="00B04060" w:rsidRDefault="007D48CC" w:rsidP="007D48CC">
      <w:pPr>
        <w:spacing w:before="28" w:after="28"/>
        <w:jc w:val="both"/>
        <w:rPr>
          <w:sz w:val="22"/>
          <w:lang w:val="fr-FR"/>
        </w:rPr>
      </w:pPr>
      <w:r w:rsidRPr="00B04060">
        <w:rPr>
          <w:sz w:val="22"/>
          <w:lang w:val="fr-FR"/>
        </w:rPr>
        <w:t>Pour relever tous ces défis, le Conseil européen de décembre prochain est un moment majeur. Le Conseil européen ne s’est plus exprimé sur les enjeux de sécurité et sur le rôle de l’Union dans le monde depuis 2008, alors même que ces sujets sont au cœur de son mandat. Il faut donc une nouvelle impulsion et nous voulons pour cela utiliser pleinement ce rendez-vous.</w:t>
      </w:r>
    </w:p>
    <w:p w:rsidR="007D48CC" w:rsidRPr="00B04060" w:rsidRDefault="007D48CC" w:rsidP="007D48CC">
      <w:pPr>
        <w:spacing w:before="28" w:after="28"/>
        <w:jc w:val="both"/>
        <w:rPr>
          <w:sz w:val="22"/>
          <w:lang w:val="fr-FR"/>
        </w:rPr>
      </w:pPr>
      <w:r w:rsidRPr="00B04060">
        <w:rPr>
          <w:sz w:val="22"/>
          <w:lang w:val="fr-FR"/>
        </w:rPr>
        <w:t>Ce ne sera pas aisé : des différences demeurent entre Européens sur l’appréciation de l’intérêt d’une Europe de la défense. Malgré les déclarations d’intention, la volonté concrète de coopérer et de coordonner les programmes est restée assez limitée ces dernières années.</w:t>
      </w:r>
    </w:p>
    <w:p w:rsidR="007D48CC" w:rsidRPr="00B04060" w:rsidRDefault="007D48CC" w:rsidP="007D48CC">
      <w:pPr>
        <w:spacing w:before="28" w:after="28"/>
        <w:jc w:val="both"/>
        <w:rPr>
          <w:sz w:val="22"/>
          <w:lang w:val="fr-BE"/>
        </w:rPr>
      </w:pPr>
      <w:r w:rsidRPr="00B04060">
        <w:rPr>
          <w:sz w:val="22"/>
          <w:lang w:val="fr-FR"/>
        </w:rPr>
        <w:t>Pour avancer, la meilleure approche me semble une démarche pragmatique, fondée sur un constat et une méthode :</w:t>
      </w:r>
    </w:p>
    <w:p w:rsidR="007D48CC" w:rsidRPr="00B04060" w:rsidRDefault="007D48CC" w:rsidP="007D48CC">
      <w:pPr>
        <w:spacing w:before="28" w:after="28"/>
        <w:jc w:val="both"/>
        <w:rPr>
          <w:sz w:val="22"/>
          <w:lang w:val="fr-BE"/>
        </w:rPr>
      </w:pPr>
      <w:r w:rsidRPr="00B04060">
        <w:rPr>
          <w:noProof/>
          <w:sz w:val="22"/>
          <w:lang w:val="fr-BE" w:eastAsia="fr-BE"/>
        </w:rPr>
        <w:drawing>
          <wp:inline distT="0" distB="0" distL="0" distR="0">
            <wp:extent cx="38100" cy="76200"/>
            <wp:effectExtent l="0" t="0" r="0" b="0"/>
            <wp:docPr id="5724" name="Pictur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76200"/>
                    </a:xfrm>
                    <a:prstGeom prst="rect">
                      <a:avLst/>
                    </a:prstGeom>
                    <a:solidFill>
                      <a:srgbClr val="FFFFFF"/>
                    </a:solidFill>
                    <a:ln>
                      <a:noFill/>
                    </a:ln>
                  </pic:spPr>
                </pic:pic>
              </a:graphicData>
            </a:graphic>
          </wp:inline>
        </w:drawing>
      </w:r>
      <w:r w:rsidRPr="00B04060">
        <w:rPr>
          <w:sz w:val="22"/>
          <w:lang w:val="fr-FR"/>
        </w:rPr>
        <w:t> Le constat, c’est celui de la situation existante, que nous devons, avec nos partenaires, établir de manière objective. Si nous n’y prenons garde, l’Europe, placée face à ses responsabilités, risque de se trouver dans l’incapacité d’assurer sa propre sécurité et de peser face aux défis stratégiques du monde. Le Conseil européen peut et doit faire cette analyse, de manière transparente et lucide. Si l’on en tire les conséquences, une véritable relance de l’Europe de la défense apparaîtra nécessaire.</w:t>
      </w:r>
    </w:p>
    <w:p w:rsidR="007D48CC" w:rsidRPr="00B04060" w:rsidRDefault="007D48CC" w:rsidP="007D48CC">
      <w:pPr>
        <w:spacing w:before="28" w:after="28"/>
        <w:jc w:val="both"/>
        <w:rPr>
          <w:sz w:val="22"/>
          <w:lang w:val="fr-FR"/>
        </w:rPr>
      </w:pPr>
      <w:r w:rsidRPr="00B04060">
        <w:rPr>
          <w:noProof/>
          <w:sz w:val="22"/>
          <w:lang w:val="fr-BE" w:eastAsia="fr-BE"/>
        </w:rPr>
        <w:drawing>
          <wp:inline distT="0" distB="0" distL="0" distR="0">
            <wp:extent cx="38100" cy="76200"/>
            <wp:effectExtent l="0" t="0" r="0" b="0"/>
            <wp:docPr id="5723" name="Pictur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 cy="76200"/>
                    </a:xfrm>
                    <a:prstGeom prst="rect">
                      <a:avLst/>
                    </a:prstGeom>
                    <a:solidFill>
                      <a:srgbClr val="FFFFFF"/>
                    </a:solidFill>
                    <a:ln>
                      <a:noFill/>
                    </a:ln>
                  </pic:spPr>
                </pic:pic>
              </a:graphicData>
            </a:graphic>
          </wp:inline>
        </w:drawing>
      </w:r>
      <w:r w:rsidRPr="00B04060">
        <w:rPr>
          <w:sz w:val="22"/>
          <w:lang w:val="fr-FR"/>
        </w:rPr>
        <w:t> La méthode, c’est celle des avancées concrètes, en partant de l’amélioration des outils et des structures en place. Evitons les débats trop institutionnels ou de doctrine qui ne débouchent au mieux qu’à très long terme et appuyons nous sur les possibilités de coopération que nous offrent les traités, et notamment Lisbonne, sans nous interdire d’avancer à quelques-uns, une fois les objectifs clairement définis. A ce stade, nous souhaitons porter un débat à 28, définir des axes pour l’Union européenne. En fonction de la mise en œuvre – après l’installation des nouvelles institutions post-2014 -, nous examinerons tous les moyens d’avancer efficacement.</w:t>
      </w:r>
    </w:p>
    <w:p w:rsidR="007D48CC" w:rsidRPr="00B04060" w:rsidRDefault="007D48CC" w:rsidP="007D48CC">
      <w:pPr>
        <w:spacing w:before="28" w:after="28"/>
        <w:jc w:val="both"/>
        <w:rPr>
          <w:sz w:val="22"/>
          <w:lang w:val="fr-FR"/>
        </w:rPr>
      </w:pPr>
      <w:r w:rsidRPr="00B04060">
        <w:rPr>
          <w:sz w:val="22"/>
          <w:lang w:val="fr-FR"/>
        </w:rPr>
        <w:lastRenderedPageBreak/>
        <w:t>Ce Conseil européen devrait donc être l’occasion de donner une impulsion à une industrie de défense européenne compétitive, facteur de croissance et d’autonomie stratégique. Si les Européens ne coopèrent pas, ce sont des pans entiers de capacités industrielles, de savoir faire, et donc d’emplois qui risquent de disparaitre. Les industriels attendent de signaux des autorités publiques : par exemple, le moment est sans doute venu de promouvoir une coopération industrielle en matière de drones, dont la visibilité pour les opinions publiques serait marquante.</w:t>
      </w:r>
    </w:p>
    <w:p w:rsidR="007D48CC" w:rsidRPr="00B04060" w:rsidRDefault="007D48CC" w:rsidP="007D48CC">
      <w:pPr>
        <w:spacing w:before="28" w:after="28"/>
        <w:jc w:val="both"/>
        <w:rPr>
          <w:sz w:val="22"/>
          <w:lang w:val="fr-FR"/>
        </w:rPr>
      </w:pPr>
      <w:r w:rsidRPr="00B04060">
        <w:rPr>
          <w:sz w:val="22"/>
          <w:lang w:val="fr-FR"/>
        </w:rPr>
        <w:t>La mutualisation et la coopération sont également les voies réalistes en matière de développement capacitaire. Les Européens doivent relancer quelques grands programmes structurants en s’appuyant davantage sur l’Agence européenne de défense, outil utile mais encore sous-employé et insuffisamment doté. A cet égard, il est essentiel de tirer les enseignements des opérations récentes en Libye et au Mali, qui ont montré des atouts mais aussi mis en évidence des lacunes, par exemple en matière de transport stratégique et tactique ou de l’observation aérienne et spatiale.</w:t>
      </w:r>
    </w:p>
    <w:p w:rsidR="007D48CC" w:rsidRPr="00B04060" w:rsidRDefault="007D48CC" w:rsidP="007D48CC">
      <w:pPr>
        <w:spacing w:before="28" w:after="28"/>
        <w:jc w:val="both"/>
        <w:rPr>
          <w:sz w:val="22"/>
          <w:lang w:val="fr-FR"/>
        </w:rPr>
      </w:pPr>
      <w:r w:rsidRPr="00B04060">
        <w:rPr>
          <w:sz w:val="22"/>
          <w:lang w:val="fr-FR"/>
        </w:rPr>
        <w:t>Les actions de long terme ne peuvent être menées à bien si l’on ne peut pas assurer en même temps la sécurité des personnes et des biens. La aussi, l’exemple du Mali doit nous inspirer. L’approche globale de l’Union, la plus-value de son action sur la scène internationale, doit pouvoir se matérialiser en articulant mieux les actions de développement et le volet de sécurité. Le Conseil européen pourrait insister sur la nécessité de réduire la distance entre développement et sécurité, par exemple en prévoyant dans les programmes d’aide au développement des actions qui concourent au renforcement de la sécurité.</w:t>
      </w:r>
    </w:p>
    <w:p w:rsidR="007D48CC" w:rsidRPr="00B04060" w:rsidRDefault="007D48CC" w:rsidP="007D48CC">
      <w:pPr>
        <w:spacing w:before="28" w:after="28"/>
        <w:jc w:val="both"/>
        <w:rPr>
          <w:sz w:val="22"/>
          <w:lang w:val="fr-FR"/>
        </w:rPr>
      </w:pPr>
      <w:r w:rsidRPr="00B04060">
        <w:rPr>
          <w:sz w:val="22"/>
          <w:lang w:val="fr-FR"/>
        </w:rPr>
        <w:t>En parallèle de ces coopérations et avancées concrètes, il nous faut progresser dans l’approche commune des priorités. Les rapprochements dans la perception de notre voisinage sont encourageants. Mais il faut aller au-delà. Plus qu’une actualisation des menaces, les Européens ont besoin d’une définition des priorités de l’Union en matière de défense. Il nous faut une approche plus stratégique du traitement des menaces et des enjeux de sécurité. Evidemment, les intérêts spécifiques des Nations demeurent. Mais, au fil des crises, une conscience commune apparaît. D’un point de vue thématique (cyber sécurité, sécurité maritime, surveillance des frontières, stabilisation post-conflit notamment) ou géographique (Balkans, Méditerranée, Sahel, Proche-Orient), les priorités communes apparaissent. C’est sur ces constats qu’il nous faut construire, y compris par de nouvelles opérations et de nouvelles actions communes.</w:t>
      </w:r>
    </w:p>
    <w:p w:rsidR="007D48CC" w:rsidRPr="00B04060" w:rsidRDefault="007D48CC" w:rsidP="007D48CC">
      <w:pPr>
        <w:spacing w:before="28" w:after="28"/>
        <w:jc w:val="both"/>
        <w:rPr>
          <w:sz w:val="22"/>
          <w:lang w:val="fr-FR"/>
        </w:rPr>
      </w:pPr>
      <w:r w:rsidRPr="00B04060">
        <w:rPr>
          <w:sz w:val="22"/>
          <w:lang w:val="fr-FR"/>
        </w:rPr>
        <w:t xml:space="preserve">Ces orientations ne sont évidemment pas exhaustives. Mon ami Jean-Yves Le Drian y reviendra et les complètera en conclusion de cette conférence. Elles constituent la base de ce que la France pourrait proposer à ses partenaires afin de réussir le rendez-vous de décembre. Pour être efficace, je le répète, nous devons nous concentrer sur quelques domaines clefs plutôt que nous </w:t>
      </w:r>
      <w:proofErr w:type="gramStart"/>
      <w:r w:rsidRPr="00B04060">
        <w:rPr>
          <w:sz w:val="22"/>
          <w:lang w:val="fr-FR"/>
        </w:rPr>
        <w:t>disperser</w:t>
      </w:r>
      <w:proofErr w:type="gramEnd"/>
      <w:r w:rsidRPr="00B04060">
        <w:rPr>
          <w:sz w:val="22"/>
          <w:lang w:val="fr-FR"/>
        </w:rPr>
        <w:t>.</w:t>
      </w:r>
    </w:p>
    <w:p w:rsidR="007D48CC" w:rsidRPr="00B04060" w:rsidRDefault="007D48CC" w:rsidP="007D48CC">
      <w:pPr>
        <w:spacing w:before="28" w:after="28"/>
        <w:jc w:val="both"/>
        <w:rPr>
          <w:sz w:val="22"/>
          <w:lang w:val="fr-FR"/>
        </w:rPr>
      </w:pPr>
      <w:r w:rsidRPr="00B04060">
        <w:rPr>
          <w:sz w:val="22"/>
          <w:lang w:val="fr-FR"/>
        </w:rPr>
        <w:t xml:space="preserve">La France a depuis longtemps considéré la coopération européenne en matière de défense et de sécurité comme une ambition majeure. Aujourd’hui, il y a urgence. Le gouvernement compte sur vous pour l’appuyer et l’aider. Vous pouvez compter sur nous pour agir de manière déterminée sur ce dossier décisif. </w:t>
      </w:r>
    </w:p>
    <w:p w:rsidR="007D48CC" w:rsidRPr="00B04060" w:rsidRDefault="007D48CC" w:rsidP="007D48CC">
      <w:pPr>
        <w:spacing w:before="28" w:after="28"/>
        <w:jc w:val="both"/>
        <w:rPr>
          <w:sz w:val="22"/>
          <w:lang w:val="fr-FR"/>
        </w:rPr>
      </w:pPr>
    </w:p>
    <w:p w:rsidR="005B1A2D" w:rsidRPr="00B04060" w:rsidRDefault="007D48CC" w:rsidP="007D48CC">
      <w:pPr>
        <w:spacing w:before="28" w:after="28"/>
        <w:jc w:val="both"/>
        <w:rPr>
          <w:sz w:val="22"/>
          <w:lang w:val="fr-FR"/>
        </w:rPr>
      </w:pPr>
      <w:r w:rsidRPr="00B04060">
        <w:rPr>
          <w:sz w:val="22"/>
          <w:lang w:val="fr-FR"/>
        </w:rPr>
        <w:t>Merci.</w:t>
      </w:r>
    </w:p>
    <w:p w:rsidR="005B1A2D" w:rsidRDefault="005B1A2D">
      <w:pPr>
        <w:rPr>
          <w:rFonts w:asciiTheme="minorHAnsi" w:hAnsiTheme="minorHAnsi" w:cstheme="minorHAnsi"/>
          <w:lang w:val="fr-FR"/>
        </w:rPr>
      </w:pPr>
      <w:r>
        <w:rPr>
          <w:rFonts w:asciiTheme="minorHAnsi" w:hAnsiTheme="minorHAnsi" w:cstheme="minorHAnsi"/>
          <w:lang w:val="fr-FR"/>
        </w:rPr>
        <w:br w:type="page"/>
      </w:r>
    </w:p>
    <w:p w:rsidR="005816D8" w:rsidRDefault="005816D8">
      <w:pPr>
        <w:rPr>
          <w:rFonts w:asciiTheme="minorHAnsi" w:hAnsiTheme="minorHAnsi" w:cstheme="minorHAnsi"/>
          <w:lang w:val="fr-FR"/>
        </w:rPr>
      </w:pPr>
    </w:p>
    <w:p w:rsidR="007D48CC" w:rsidRPr="007D48CC" w:rsidRDefault="007D48CC" w:rsidP="007D48CC">
      <w:pPr>
        <w:spacing w:before="28" w:after="28"/>
        <w:jc w:val="both"/>
        <w:rPr>
          <w:rFonts w:asciiTheme="minorHAnsi" w:hAnsiTheme="minorHAnsi" w:cstheme="minorHAnsi"/>
          <w:lang w:val="fr-FR"/>
        </w:rPr>
      </w:pPr>
    </w:p>
    <w:p w:rsidR="005B1A2D" w:rsidRDefault="00603254" w:rsidP="007D48CC">
      <w:pPr>
        <w:spacing w:after="360"/>
        <w:ind w:left="720"/>
        <w:jc w:val="both"/>
        <w:rPr>
          <w:rFonts w:ascii="Century Schoolbook" w:hAnsi="Century Schoolbook"/>
          <w:b/>
          <w:color w:val="1F497D"/>
          <w:sz w:val="36"/>
          <w:szCs w:val="36"/>
          <w:lang w:val="fr-BE"/>
        </w:rPr>
      </w:pPr>
      <w:r w:rsidRPr="00603254">
        <w:rPr>
          <w:rFonts w:ascii="Century Schoolbook" w:hAnsi="Century Schoolbook"/>
          <w:b/>
          <w:noProof/>
          <w:color w:val="1F497D"/>
          <w:sz w:val="36"/>
          <w:szCs w:val="36"/>
        </w:rPr>
        <w:pict>
          <v:rect id="_x0000_s1039" style="position:absolute;left:0;text-align:left;margin-left:-9pt;margin-top:1.55pt;width:36pt;height:63pt;z-index:25181593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" fillcolor="#1f497d" stroked="f" strokeweight="0" insetpen="t">
            <v:shadow color="#ccc"/>
            <v:textbox inset="2.88pt,2.88pt,2.88pt,2.88pt"/>
          </v:rect>
        </w:pict>
      </w:r>
      <w:r w:rsidR="007D48CC" w:rsidRPr="007D48CC">
        <w:rPr>
          <w:rFonts w:ascii="Century Schoolbook" w:hAnsi="Century Schoolbook"/>
          <w:b/>
          <w:color w:val="1F497D"/>
          <w:sz w:val="36"/>
          <w:szCs w:val="36"/>
          <w:lang w:val="fr-BE"/>
        </w:rPr>
        <w:t>Annexe 3 : Décret portant création de la commission du Livre blanc sur la défense et la sécurité nationale</w:t>
      </w:r>
    </w:p>
    <w:p w:rsidR="007D48CC" w:rsidRPr="005B1A2D" w:rsidRDefault="007D48CC" w:rsidP="005B1A2D">
      <w:pPr>
        <w:spacing w:after="360"/>
        <w:jc w:val="both"/>
        <w:rPr>
          <w:rFonts w:asciiTheme="minorHAnsi" w:hAnsiTheme="minorHAnsi" w:cstheme="minorHAnsi"/>
          <w:b/>
          <w:color w:val="1F497D"/>
          <w:sz w:val="24"/>
          <w:szCs w:val="24"/>
          <w:lang w:val="fr-BE"/>
        </w:rPr>
      </w:pPr>
      <w:r w:rsidRPr="005B1A2D">
        <w:rPr>
          <w:rFonts w:asciiTheme="minorHAnsi" w:hAnsiTheme="minorHAnsi" w:cstheme="minorHAnsi"/>
          <w:b/>
          <w:color w:val="1F497D"/>
          <w:sz w:val="24"/>
          <w:szCs w:val="24"/>
          <w:lang w:val="fr-BE"/>
        </w:rPr>
        <w:t xml:space="preserve"> (Journal officiel, version consolidée du 28 juillet 2012)</w:t>
      </w:r>
    </w:p>
    <w:p w:rsidR="007D48CC" w:rsidRPr="00B04060" w:rsidRDefault="007D48CC" w:rsidP="007D48CC">
      <w:pPr>
        <w:rPr>
          <w:sz w:val="22"/>
          <w:lang w:val="fr-FR"/>
        </w:rPr>
      </w:pPr>
      <w:r w:rsidRPr="00F47E3A">
        <w:rPr>
          <w:sz w:val="22"/>
          <w:lang w:val="fr-FR"/>
        </w:rPr>
        <w:t>Le Président de la République</w:t>
      </w:r>
      <w:proofErr w:type="gramStart"/>
      <w:r w:rsidRPr="00F47E3A">
        <w:rPr>
          <w:sz w:val="22"/>
          <w:lang w:val="fr-FR"/>
        </w:rPr>
        <w:t>,</w:t>
      </w:r>
      <w:proofErr w:type="gramEnd"/>
      <w:r w:rsidRPr="00F47E3A">
        <w:rPr>
          <w:sz w:val="22"/>
          <w:lang w:val="fr-FR"/>
        </w:rPr>
        <w:br/>
      </w:r>
      <w:r w:rsidRPr="00B04060">
        <w:rPr>
          <w:sz w:val="22"/>
          <w:lang w:val="fr-FR"/>
        </w:rPr>
        <w:t>Sur le rapport du Premier ministre,</w:t>
      </w:r>
      <w:r w:rsidRPr="00B04060">
        <w:rPr>
          <w:sz w:val="22"/>
          <w:lang w:val="fr-FR"/>
        </w:rPr>
        <w:br/>
      </w:r>
    </w:p>
    <w:p w:rsidR="007D48CC" w:rsidRPr="00B04060" w:rsidRDefault="007D48CC" w:rsidP="007D48CC">
      <w:pPr>
        <w:jc w:val="center"/>
        <w:rPr>
          <w:sz w:val="22"/>
          <w:lang w:val="fr-FR"/>
        </w:rPr>
      </w:pPr>
      <w:r w:rsidRPr="00B04060">
        <w:rPr>
          <w:sz w:val="22"/>
          <w:lang w:val="fr-FR"/>
        </w:rPr>
        <w:t>Décrète :</w:t>
      </w:r>
    </w:p>
    <w:p w:rsidR="007D48CC" w:rsidRPr="00B04060" w:rsidRDefault="007D48CC" w:rsidP="007D48CC">
      <w:pPr>
        <w:rPr>
          <w:b/>
          <w:sz w:val="22"/>
          <w:lang w:val="fr-FR"/>
        </w:rPr>
      </w:pPr>
    </w:p>
    <w:p w:rsidR="007D48CC" w:rsidRPr="00B04060" w:rsidRDefault="007D48CC" w:rsidP="007D48CC">
      <w:pPr>
        <w:rPr>
          <w:sz w:val="22"/>
          <w:lang w:val="fr-FR"/>
        </w:rPr>
      </w:pPr>
      <w:r w:rsidRPr="00B04060">
        <w:rPr>
          <w:sz w:val="22"/>
          <w:lang w:val="fr-FR"/>
        </w:rPr>
        <w:t>Article 1</w:t>
      </w:r>
    </w:p>
    <w:p w:rsidR="007D48CC" w:rsidRPr="00B04060" w:rsidRDefault="007D48CC" w:rsidP="007D48CC">
      <w:pPr>
        <w:spacing w:before="28" w:after="28"/>
        <w:rPr>
          <w:sz w:val="22"/>
          <w:lang w:val="fr-FR"/>
        </w:rPr>
      </w:pPr>
      <w:r w:rsidRPr="00B04060">
        <w:rPr>
          <w:sz w:val="22"/>
          <w:lang w:val="fr-FR"/>
        </w:rPr>
        <w:t>Il est créé, auprès du Président de la République, une commission chargée de l'élaboration du livre blanc sur la défense et la sécurité nationale.</w:t>
      </w:r>
      <w:r w:rsidRPr="00B04060">
        <w:rPr>
          <w:sz w:val="22"/>
          <w:lang w:val="fr-FR"/>
        </w:rPr>
        <w:br/>
        <w:t>La commission peut entendre ou consulter toute personne de son choix.</w:t>
      </w:r>
    </w:p>
    <w:p w:rsidR="005B1A2D" w:rsidRPr="00B04060" w:rsidRDefault="005B1A2D" w:rsidP="007D48CC">
      <w:pPr>
        <w:rPr>
          <w:sz w:val="22"/>
          <w:lang w:val="fr-FR"/>
        </w:rPr>
      </w:pPr>
    </w:p>
    <w:p w:rsidR="007D48CC" w:rsidRPr="00B04060" w:rsidRDefault="007D48CC" w:rsidP="007D48CC">
      <w:pPr>
        <w:rPr>
          <w:sz w:val="22"/>
          <w:lang w:val="fr-FR"/>
        </w:rPr>
      </w:pPr>
      <w:r w:rsidRPr="00B04060">
        <w:rPr>
          <w:sz w:val="22"/>
          <w:lang w:val="fr-FR"/>
        </w:rPr>
        <w:t>Article 2</w:t>
      </w:r>
    </w:p>
    <w:p w:rsidR="007D48CC" w:rsidRPr="00B04060" w:rsidRDefault="007D48CC" w:rsidP="007D48CC">
      <w:pPr>
        <w:spacing w:before="28" w:after="28"/>
        <w:rPr>
          <w:sz w:val="22"/>
          <w:lang w:val="fr-FR"/>
        </w:rPr>
      </w:pPr>
      <w:r w:rsidRPr="00B04060">
        <w:rPr>
          <w:sz w:val="22"/>
          <w:lang w:val="fr-FR"/>
        </w:rPr>
        <w:t>M. Jean-Marie Guéhenno, conseiller maître à la Cour des comptes, est nommé président de la commission instituée par le présent décret.</w:t>
      </w:r>
    </w:p>
    <w:p w:rsidR="005B1A2D" w:rsidRPr="00B04060" w:rsidRDefault="005B1A2D" w:rsidP="007D48CC">
      <w:pPr>
        <w:rPr>
          <w:sz w:val="22"/>
          <w:lang w:val="fr-FR"/>
        </w:rPr>
      </w:pPr>
    </w:p>
    <w:p w:rsidR="007D48CC" w:rsidRPr="00B04060" w:rsidRDefault="007D48CC" w:rsidP="007D48CC">
      <w:pPr>
        <w:rPr>
          <w:sz w:val="22"/>
          <w:lang w:val="fr-FR"/>
        </w:rPr>
      </w:pPr>
      <w:r w:rsidRPr="00B04060">
        <w:rPr>
          <w:sz w:val="22"/>
          <w:lang w:val="fr-FR"/>
        </w:rPr>
        <w:t>Article 3</w:t>
      </w:r>
    </w:p>
    <w:p w:rsidR="007D48CC" w:rsidRPr="00B04060" w:rsidRDefault="007D48CC" w:rsidP="007D48CC">
      <w:pPr>
        <w:rPr>
          <w:sz w:val="22"/>
          <w:u w:val="single"/>
          <w:lang w:val="fr-FR"/>
        </w:rPr>
      </w:pPr>
      <w:r w:rsidRPr="00B04060">
        <w:rPr>
          <w:sz w:val="22"/>
          <w:lang w:val="fr-FR"/>
        </w:rPr>
        <w:t>Sont membres de la commission :</w:t>
      </w:r>
    </w:p>
    <w:p w:rsidR="007D48CC" w:rsidRPr="00B04060" w:rsidRDefault="007D48CC" w:rsidP="007D48CC">
      <w:pPr>
        <w:pStyle w:val="Paragraphedeliste"/>
        <w:numPr>
          <w:ilvl w:val="0"/>
          <w:numId w:val="20"/>
        </w:numPr>
        <w:suppressAutoHyphens/>
        <w:spacing w:before="28" w:after="28"/>
        <w:contextualSpacing w:val="0"/>
        <w:jc w:val="left"/>
        <w:rPr>
          <w:rFonts w:ascii="Times New Roman" w:hAnsi="Times New Roman"/>
          <w:sz w:val="22"/>
          <w:szCs w:val="20"/>
          <w:lang w:val="fr-FR"/>
        </w:rPr>
      </w:pPr>
      <w:r w:rsidRPr="00B04060">
        <w:rPr>
          <w:rFonts w:ascii="Times New Roman" w:hAnsi="Times New Roman"/>
          <w:sz w:val="22"/>
          <w:szCs w:val="20"/>
          <w:u w:val="single"/>
          <w:lang w:val="fr-FR"/>
        </w:rPr>
        <w:t>Au titre du Parlement :</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t xml:space="preserve">Le président de la commission de la défense nationale et des forces armées de l'Assemblée nationale </w:t>
      </w:r>
      <w:proofErr w:type="gramStart"/>
      <w:r w:rsidRPr="00B04060">
        <w:rPr>
          <w:rFonts w:ascii="Times New Roman" w:hAnsi="Times New Roman"/>
          <w:sz w:val="22"/>
          <w:szCs w:val="20"/>
          <w:lang w:val="fr-FR"/>
        </w:rPr>
        <w:t>;</w:t>
      </w:r>
      <w:proofErr w:type="gramEnd"/>
      <w:r w:rsidRPr="00B04060">
        <w:rPr>
          <w:rFonts w:ascii="Times New Roman" w:hAnsi="Times New Roman"/>
          <w:sz w:val="22"/>
          <w:szCs w:val="20"/>
          <w:lang w:val="fr-FR"/>
        </w:rPr>
        <w:br/>
        <w:t>Le président de la commission des affaires étrangères, de la défense et des forces armées du Sénat ;</w:t>
      </w:r>
      <w:r w:rsidRPr="00B04060">
        <w:rPr>
          <w:rFonts w:ascii="Times New Roman" w:hAnsi="Times New Roman"/>
          <w:sz w:val="22"/>
          <w:szCs w:val="20"/>
          <w:lang w:val="fr-FR"/>
        </w:rPr>
        <w:br/>
        <w:t>Deux députés et deux sénateurs désignés par le président de leur assemblée respective.</w:t>
      </w:r>
    </w:p>
    <w:p w:rsidR="007D48CC" w:rsidRPr="00B04060" w:rsidRDefault="007D48CC" w:rsidP="007D48CC">
      <w:pPr>
        <w:pStyle w:val="Paragraphedeliste"/>
        <w:spacing w:before="28" w:after="28"/>
        <w:jc w:val="left"/>
        <w:rPr>
          <w:rFonts w:ascii="Times New Roman" w:hAnsi="Times New Roman"/>
          <w:sz w:val="22"/>
          <w:szCs w:val="20"/>
          <w:lang w:val="fr-FR"/>
        </w:rPr>
      </w:pPr>
    </w:p>
    <w:p w:rsidR="007D48CC" w:rsidRPr="00B04060" w:rsidRDefault="007D48CC" w:rsidP="007D48CC">
      <w:pPr>
        <w:pStyle w:val="Paragraphedeliste"/>
        <w:numPr>
          <w:ilvl w:val="0"/>
          <w:numId w:val="20"/>
        </w:numPr>
        <w:suppressAutoHyphens/>
        <w:spacing w:before="28" w:after="28"/>
        <w:contextualSpacing w:val="0"/>
        <w:jc w:val="left"/>
        <w:rPr>
          <w:rFonts w:ascii="Times New Roman" w:hAnsi="Times New Roman"/>
          <w:sz w:val="22"/>
          <w:szCs w:val="20"/>
          <w:lang w:val="fr-FR"/>
        </w:rPr>
      </w:pPr>
      <w:r w:rsidRPr="00B04060">
        <w:rPr>
          <w:rFonts w:ascii="Times New Roman" w:hAnsi="Times New Roman"/>
          <w:sz w:val="22"/>
          <w:szCs w:val="20"/>
          <w:u w:val="single"/>
          <w:lang w:val="fr-FR"/>
        </w:rPr>
        <w:t>Au titre des administrations :</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t>Le secrétaire général de la défense et de la sécurité nationale.</w:t>
      </w:r>
      <w:r w:rsidRPr="00B04060">
        <w:rPr>
          <w:rFonts w:ascii="Times New Roman" w:hAnsi="Times New Roman"/>
          <w:sz w:val="22"/>
          <w:szCs w:val="20"/>
          <w:lang w:val="fr-FR"/>
        </w:rPr>
        <w:br/>
        <w:t>Le coordonnateur national du renseignement.</w:t>
      </w:r>
    </w:p>
    <w:p w:rsidR="007D48CC" w:rsidRPr="00B04060" w:rsidRDefault="007D48CC" w:rsidP="007D48CC">
      <w:pPr>
        <w:pStyle w:val="Paragraphedeliste"/>
        <w:spacing w:before="28" w:after="28"/>
        <w:jc w:val="left"/>
        <w:rPr>
          <w:rFonts w:ascii="Times New Roman" w:hAnsi="Times New Roman"/>
          <w:i/>
          <w:sz w:val="22"/>
          <w:szCs w:val="20"/>
          <w:lang w:val="fr-FR"/>
        </w:rPr>
      </w:pPr>
      <w:r w:rsidRPr="00B04060">
        <w:rPr>
          <w:rFonts w:ascii="Times New Roman" w:hAnsi="Times New Roman"/>
          <w:sz w:val="22"/>
          <w:szCs w:val="20"/>
          <w:lang w:val="fr-FR"/>
        </w:rPr>
        <w:br/>
      </w:r>
      <w:r w:rsidRPr="00B04060">
        <w:rPr>
          <w:rFonts w:ascii="Times New Roman" w:hAnsi="Times New Roman"/>
          <w:i/>
          <w:sz w:val="22"/>
          <w:szCs w:val="20"/>
          <w:lang w:val="fr-FR"/>
        </w:rPr>
        <w:t>Ministère des affaires étrangères :</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t xml:space="preserve">Le secrétaire général </w:t>
      </w:r>
      <w:proofErr w:type="gramStart"/>
      <w:r w:rsidRPr="00B04060">
        <w:rPr>
          <w:rFonts w:ascii="Times New Roman" w:hAnsi="Times New Roman"/>
          <w:sz w:val="22"/>
          <w:szCs w:val="20"/>
          <w:lang w:val="fr-FR"/>
        </w:rPr>
        <w:t>;</w:t>
      </w:r>
      <w:proofErr w:type="gramEnd"/>
      <w:r w:rsidRPr="00B04060">
        <w:rPr>
          <w:rFonts w:ascii="Times New Roman" w:hAnsi="Times New Roman"/>
          <w:sz w:val="22"/>
          <w:szCs w:val="20"/>
          <w:lang w:val="fr-FR"/>
        </w:rPr>
        <w:br/>
        <w:t>Le directeur général des affaires politiques et de sécurité ;</w:t>
      </w:r>
      <w:r w:rsidRPr="00B04060">
        <w:rPr>
          <w:rFonts w:ascii="Times New Roman" w:hAnsi="Times New Roman"/>
          <w:sz w:val="22"/>
          <w:szCs w:val="20"/>
          <w:lang w:val="fr-FR"/>
        </w:rPr>
        <w:br/>
        <w:t>Le directeur de l'Union européenne ;</w:t>
      </w:r>
      <w:r w:rsidRPr="00B04060">
        <w:rPr>
          <w:rFonts w:ascii="Times New Roman" w:hAnsi="Times New Roman"/>
          <w:sz w:val="22"/>
          <w:szCs w:val="20"/>
          <w:lang w:val="fr-FR"/>
        </w:rPr>
        <w:br/>
        <w:t>Le directeur des affaires stratégiques, de sécurité et du désarmement ;</w:t>
      </w:r>
      <w:r w:rsidRPr="00B04060">
        <w:rPr>
          <w:rFonts w:ascii="Times New Roman" w:hAnsi="Times New Roman"/>
          <w:sz w:val="22"/>
          <w:szCs w:val="20"/>
          <w:lang w:val="fr-FR"/>
        </w:rPr>
        <w:br/>
        <w:t>Le directeur de la prospective.</w:t>
      </w:r>
    </w:p>
    <w:p w:rsidR="007D48CC" w:rsidRPr="00B04060" w:rsidRDefault="007D48CC" w:rsidP="007D48CC">
      <w:pPr>
        <w:pStyle w:val="Paragraphedeliste"/>
        <w:spacing w:before="28" w:after="28"/>
        <w:jc w:val="left"/>
        <w:rPr>
          <w:rFonts w:ascii="Times New Roman" w:hAnsi="Times New Roman"/>
          <w:i/>
          <w:sz w:val="22"/>
          <w:szCs w:val="20"/>
          <w:lang w:val="fr-FR"/>
        </w:rPr>
      </w:pPr>
      <w:r w:rsidRPr="00B04060">
        <w:rPr>
          <w:rFonts w:ascii="Times New Roman" w:hAnsi="Times New Roman"/>
          <w:sz w:val="22"/>
          <w:szCs w:val="20"/>
          <w:lang w:val="fr-FR"/>
        </w:rPr>
        <w:br/>
      </w:r>
      <w:r w:rsidRPr="00B04060">
        <w:rPr>
          <w:rFonts w:ascii="Times New Roman" w:hAnsi="Times New Roman"/>
          <w:i/>
          <w:sz w:val="22"/>
          <w:szCs w:val="20"/>
          <w:lang w:val="fr-FR"/>
        </w:rPr>
        <w:t>Ministère de l'économie et des finances :</w:t>
      </w:r>
    </w:p>
    <w:p w:rsidR="005B1A2D" w:rsidRPr="00B04060" w:rsidRDefault="007D48CC" w:rsidP="007D48CC">
      <w:pPr>
        <w:pStyle w:val="Paragraphedeliste"/>
        <w:spacing w:before="28" w:after="28"/>
        <w:jc w:val="left"/>
        <w:rPr>
          <w:rFonts w:ascii="Times New Roman" w:hAnsi="Times New Roman"/>
          <w:i/>
          <w:sz w:val="22"/>
          <w:szCs w:val="20"/>
          <w:lang w:val="fr-FR"/>
        </w:rPr>
      </w:pPr>
      <w:r w:rsidRPr="00B04060">
        <w:rPr>
          <w:rFonts w:ascii="Times New Roman" w:hAnsi="Times New Roman"/>
          <w:sz w:val="22"/>
          <w:szCs w:val="20"/>
          <w:lang w:val="fr-FR"/>
        </w:rPr>
        <w:t xml:space="preserve">Le directeur général du Trésor </w:t>
      </w:r>
      <w:proofErr w:type="gramStart"/>
      <w:r w:rsidRPr="00B04060">
        <w:rPr>
          <w:rFonts w:ascii="Times New Roman" w:hAnsi="Times New Roman"/>
          <w:sz w:val="22"/>
          <w:szCs w:val="20"/>
          <w:lang w:val="fr-FR"/>
        </w:rPr>
        <w:t>;</w:t>
      </w:r>
      <w:proofErr w:type="gramEnd"/>
      <w:r w:rsidRPr="00B04060">
        <w:rPr>
          <w:rFonts w:ascii="Times New Roman" w:hAnsi="Times New Roman"/>
          <w:sz w:val="22"/>
          <w:szCs w:val="20"/>
          <w:lang w:val="fr-FR"/>
        </w:rPr>
        <w:br/>
        <w:t>Le directeur du budget.</w:t>
      </w:r>
      <w:r w:rsidRPr="00B04060">
        <w:rPr>
          <w:rFonts w:ascii="Times New Roman" w:hAnsi="Times New Roman"/>
          <w:sz w:val="22"/>
          <w:szCs w:val="20"/>
          <w:lang w:val="fr-FR"/>
        </w:rPr>
        <w:br/>
      </w:r>
    </w:p>
    <w:p w:rsidR="007D48CC" w:rsidRPr="00B04060" w:rsidRDefault="007D48CC" w:rsidP="007D48CC">
      <w:pPr>
        <w:pStyle w:val="Paragraphedeliste"/>
        <w:spacing w:before="28" w:after="28"/>
        <w:jc w:val="left"/>
        <w:rPr>
          <w:rFonts w:ascii="Times New Roman" w:hAnsi="Times New Roman"/>
          <w:i/>
          <w:sz w:val="22"/>
          <w:szCs w:val="20"/>
          <w:lang w:val="fr-FR"/>
        </w:rPr>
      </w:pPr>
      <w:r w:rsidRPr="00B04060">
        <w:rPr>
          <w:rFonts w:ascii="Times New Roman" w:hAnsi="Times New Roman"/>
          <w:i/>
          <w:sz w:val="22"/>
          <w:szCs w:val="20"/>
          <w:lang w:val="fr-FR"/>
        </w:rPr>
        <w:t>Ministère de l'économie et des finances et ministère du redressement productif :</w:t>
      </w:r>
    </w:p>
    <w:p w:rsidR="007D48CC" w:rsidRPr="00B04060" w:rsidRDefault="007D48CC" w:rsidP="005B1A2D">
      <w:pPr>
        <w:spacing w:before="28" w:after="28"/>
        <w:ind w:left="720"/>
        <w:rPr>
          <w:color w:val="auto"/>
          <w:kern w:val="0"/>
          <w:sz w:val="22"/>
          <w:lang w:val="fr-FR" w:eastAsia="zh-CN" w:bidi="hi-IN"/>
        </w:rPr>
      </w:pPr>
      <w:r w:rsidRPr="00B04060">
        <w:rPr>
          <w:color w:val="auto"/>
          <w:kern w:val="0"/>
          <w:sz w:val="22"/>
          <w:lang w:val="fr-FR" w:eastAsia="zh-CN" w:bidi="hi-IN"/>
        </w:rPr>
        <w:t>Le directeur de l'Agence des participations de l'Etat.</w:t>
      </w:r>
      <w:r w:rsidRPr="00B04060">
        <w:rPr>
          <w:color w:val="auto"/>
          <w:kern w:val="0"/>
          <w:sz w:val="22"/>
          <w:lang w:val="fr-FR" w:eastAsia="zh-CN" w:bidi="hi-IN"/>
        </w:rPr>
        <w:br/>
      </w:r>
    </w:p>
    <w:p w:rsidR="007D48CC" w:rsidRPr="00B04060" w:rsidRDefault="007D48CC" w:rsidP="007D48CC">
      <w:pPr>
        <w:pStyle w:val="Paragraphedeliste"/>
        <w:spacing w:before="28" w:after="28"/>
        <w:jc w:val="left"/>
        <w:rPr>
          <w:rFonts w:ascii="Times New Roman" w:hAnsi="Times New Roman"/>
          <w:i/>
          <w:sz w:val="22"/>
          <w:szCs w:val="20"/>
          <w:lang w:val="fr-FR"/>
        </w:rPr>
      </w:pPr>
      <w:r w:rsidRPr="00B04060">
        <w:rPr>
          <w:rFonts w:ascii="Times New Roman" w:hAnsi="Times New Roman"/>
          <w:i/>
          <w:sz w:val="22"/>
          <w:szCs w:val="20"/>
          <w:lang w:val="fr-FR"/>
        </w:rPr>
        <w:t>Ministère de l'intérieur :</w:t>
      </w:r>
    </w:p>
    <w:p w:rsidR="007D48CC" w:rsidRPr="00B04060" w:rsidRDefault="007D48CC" w:rsidP="007D48CC">
      <w:pPr>
        <w:pStyle w:val="Paragraphedeliste"/>
        <w:spacing w:before="28" w:after="28"/>
        <w:jc w:val="left"/>
        <w:rPr>
          <w:rFonts w:ascii="Times New Roman" w:hAnsi="Times New Roman"/>
          <w:i/>
          <w:sz w:val="22"/>
          <w:szCs w:val="20"/>
          <w:lang w:val="fr-FR"/>
        </w:rPr>
      </w:pPr>
      <w:r w:rsidRPr="00B04060">
        <w:rPr>
          <w:rFonts w:ascii="Times New Roman" w:hAnsi="Times New Roman"/>
          <w:sz w:val="22"/>
          <w:szCs w:val="20"/>
          <w:lang w:val="fr-FR"/>
        </w:rPr>
        <w:t xml:space="preserve">Le directeur général de la police nationale </w:t>
      </w:r>
      <w:proofErr w:type="gramStart"/>
      <w:r w:rsidRPr="00B04060">
        <w:rPr>
          <w:rFonts w:ascii="Times New Roman" w:hAnsi="Times New Roman"/>
          <w:sz w:val="22"/>
          <w:szCs w:val="20"/>
          <w:lang w:val="fr-FR"/>
        </w:rPr>
        <w:t>;</w:t>
      </w:r>
      <w:proofErr w:type="gramEnd"/>
      <w:r w:rsidRPr="00B04060">
        <w:rPr>
          <w:rFonts w:ascii="Times New Roman" w:hAnsi="Times New Roman"/>
          <w:sz w:val="22"/>
          <w:szCs w:val="20"/>
          <w:lang w:val="fr-FR"/>
        </w:rPr>
        <w:br/>
        <w:t>Le directeur général de la gendarmerie nationale ;</w:t>
      </w:r>
      <w:r w:rsidRPr="00B04060">
        <w:rPr>
          <w:rFonts w:ascii="Times New Roman" w:hAnsi="Times New Roman"/>
          <w:sz w:val="22"/>
          <w:szCs w:val="20"/>
          <w:lang w:val="fr-FR"/>
        </w:rPr>
        <w:br/>
        <w:t>Le directeur général de la sécurité civile et de la gestion des crises ;</w:t>
      </w:r>
      <w:r w:rsidRPr="00B04060">
        <w:rPr>
          <w:rFonts w:ascii="Times New Roman" w:hAnsi="Times New Roman"/>
          <w:sz w:val="22"/>
          <w:szCs w:val="20"/>
          <w:lang w:val="fr-FR"/>
        </w:rPr>
        <w:br/>
      </w:r>
      <w:r w:rsidRPr="00B04060">
        <w:rPr>
          <w:rFonts w:ascii="Times New Roman" w:hAnsi="Times New Roman"/>
          <w:sz w:val="22"/>
          <w:szCs w:val="20"/>
          <w:lang w:val="fr-FR"/>
        </w:rPr>
        <w:lastRenderedPageBreak/>
        <w:t>Le directeur central du renseignement intérieur.</w:t>
      </w:r>
      <w:r w:rsidRPr="00B04060">
        <w:rPr>
          <w:rFonts w:ascii="Times New Roman" w:hAnsi="Times New Roman"/>
          <w:sz w:val="22"/>
          <w:szCs w:val="20"/>
          <w:lang w:val="fr-FR"/>
        </w:rPr>
        <w:br/>
      </w:r>
    </w:p>
    <w:p w:rsidR="007D48CC" w:rsidRPr="00B04060" w:rsidRDefault="007D48CC" w:rsidP="007D48CC">
      <w:pPr>
        <w:pStyle w:val="Paragraphedeliste"/>
        <w:spacing w:before="28" w:after="28"/>
        <w:jc w:val="left"/>
        <w:rPr>
          <w:rFonts w:ascii="Times New Roman" w:hAnsi="Times New Roman"/>
          <w:i/>
          <w:sz w:val="22"/>
          <w:szCs w:val="20"/>
          <w:lang w:val="fr-FR"/>
        </w:rPr>
      </w:pPr>
      <w:r w:rsidRPr="00B04060">
        <w:rPr>
          <w:rFonts w:ascii="Times New Roman" w:hAnsi="Times New Roman"/>
          <w:i/>
          <w:sz w:val="22"/>
          <w:szCs w:val="20"/>
          <w:lang w:val="fr-FR"/>
        </w:rPr>
        <w:t>Ministère du redressement productif :</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t>Le directeur général de la compétitivité, de l'industrie et des services.</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br/>
      </w:r>
      <w:r w:rsidRPr="00B04060">
        <w:rPr>
          <w:rFonts w:ascii="Times New Roman" w:hAnsi="Times New Roman"/>
          <w:i/>
          <w:sz w:val="22"/>
          <w:szCs w:val="20"/>
          <w:lang w:val="fr-FR"/>
        </w:rPr>
        <w:t>Ministère de la défense :</w:t>
      </w:r>
      <w:r w:rsidRPr="00B04060">
        <w:rPr>
          <w:rFonts w:ascii="Times New Roman" w:hAnsi="Times New Roman"/>
          <w:i/>
          <w:sz w:val="22"/>
          <w:szCs w:val="20"/>
          <w:lang w:val="fr-FR"/>
        </w:rPr>
        <w:br/>
      </w:r>
      <w:r w:rsidRPr="00B04060">
        <w:rPr>
          <w:rFonts w:ascii="Times New Roman" w:hAnsi="Times New Roman"/>
          <w:sz w:val="22"/>
          <w:szCs w:val="20"/>
          <w:lang w:val="fr-FR"/>
        </w:rPr>
        <w:t>M. Jean-Claude Mallet, conseiller auprès du ministre ;</w:t>
      </w:r>
      <w:r w:rsidRPr="00B04060">
        <w:rPr>
          <w:rFonts w:ascii="Times New Roman" w:hAnsi="Times New Roman"/>
          <w:sz w:val="22"/>
          <w:szCs w:val="20"/>
          <w:lang w:val="fr-FR"/>
        </w:rPr>
        <w:br/>
        <w:t>Le chef d'état-major des armées ;</w:t>
      </w:r>
      <w:r w:rsidRPr="00B04060">
        <w:rPr>
          <w:rFonts w:ascii="Times New Roman" w:hAnsi="Times New Roman"/>
          <w:sz w:val="22"/>
          <w:szCs w:val="20"/>
          <w:lang w:val="fr-FR"/>
        </w:rPr>
        <w:br/>
        <w:t>Le délégué général pour l'armement ;</w:t>
      </w:r>
      <w:r w:rsidRPr="00B04060">
        <w:rPr>
          <w:rFonts w:ascii="Times New Roman" w:hAnsi="Times New Roman"/>
          <w:sz w:val="22"/>
          <w:szCs w:val="20"/>
          <w:lang w:val="fr-FR"/>
        </w:rPr>
        <w:br/>
        <w:t>Le secrétaire général pour l'administration ;</w:t>
      </w:r>
      <w:r w:rsidRPr="00B04060">
        <w:rPr>
          <w:rFonts w:ascii="Times New Roman" w:hAnsi="Times New Roman"/>
          <w:sz w:val="22"/>
          <w:szCs w:val="20"/>
          <w:lang w:val="fr-FR"/>
        </w:rPr>
        <w:br/>
        <w:t>Le chef d'état-major de l'armée de terre ;</w:t>
      </w:r>
      <w:r w:rsidRPr="00B04060">
        <w:rPr>
          <w:rFonts w:ascii="Times New Roman" w:hAnsi="Times New Roman"/>
          <w:sz w:val="22"/>
          <w:szCs w:val="20"/>
          <w:lang w:val="fr-FR"/>
        </w:rPr>
        <w:br/>
        <w:t>Le chef d'état-major de la marine ;</w:t>
      </w:r>
      <w:r w:rsidRPr="00B04060">
        <w:rPr>
          <w:rFonts w:ascii="Times New Roman" w:hAnsi="Times New Roman"/>
          <w:sz w:val="22"/>
          <w:szCs w:val="20"/>
          <w:lang w:val="fr-FR"/>
        </w:rPr>
        <w:br/>
        <w:t>Le chef d'état-major de l'armée de l'air ;</w:t>
      </w:r>
      <w:r w:rsidRPr="00B04060">
        <w:rPr>
          <w:rFonts w:ascii="Times New Roman" w:hAnsi="Times New Roman"/>
          <w:sz w:val="22"/>
          <w:szCs w:val="20"/>
          <w:lang w:val="fr-FR"/>
        </w:rPr>
        <w:br/>
        <w:t>Le major général des armées ;</w:t>
      </w:r>
      <w:r w:rsidRPr="00B04060">
        <w:rPr>
          <w:rFonts w:ascii="Times New Roman" w:hAnsi="Times New Roman"/>
          <w:sz w:val="22"/>
          <w:szCs w:val="20"/>
          <w:lang w:val="fr-FR"/>
        </w:rPr>
        <w:br/>
        <w:t>Le directeur général de la sécurité extérieure ;</w:t>
      </w:r>
      <w:r w:rsidRPr="00B04060">
        <w:rPr>
          <w:rFonts w:ascii="Times New Roman" w:hAnsi="Times New Roman"/>
          <w:sz w:val="22"/>
          <w:szCs w:val="20"/>
          <w:lang w:val="fr-FR"/>
        </w:rPr>
        <w:br/>
        <w:t>Le directeur chargé des affaires stratégiques.</w:t>
      </w:r>
      <w:r w:rsidRPr="00B04060">
        <w:rPr>
          <w:rFonts w:ascii="Times New Roman" w:hAnsi="Times New Roman"/>
          <w:sz w:val="22"/>
          <w:szCs w:val="20"/>
          <w:lang w:val="fr-FR"/>
        </w:rPr>
        <w:br/>
        <w:t xml:space="preserve">Ministère de l'enseignement supérieur et de la recherche </w:t>
      </w:r>
      <w:proofErr w:type="gramStart"/>
      <w:r w:rsidRPr="00B04060">
        <w:rPr>
          <w:rFonts w:ascii="Times New Roman" w:hAnsi="Times New Roman"/>
          <w:sz w:val="22"/>
          <w:szCs w:val="20"/>
          <w:lang w:val="fr-FR"/>
        </w:rPr>
        <w:t>:</w:t>
      </w:r>
      <w:proofErr w:type="gramEnd"/>
      <w:r w:rsidRPr="00B04060">
        <w:rPr>
          <w:rFonts w:ascii="Times New Roman" w:hAnsi="Times New Roman"/>
          <w:sz w:val="22"/>
          <w:szCs w:val="20"/>
          <w:lang w:val="fr-FR"/>
        </w:rPr>
        <w:br/>
        <w:t>Le directeur général pour la recherche et l'innovation.</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br/>
      </w:r>
      <w:r w:rsidRPr="00B04060">
        <w:rPr>
          <w:rFonts w:ascii="Times New Roman" w:hAnsi="Times New Roman"/>
          <w:i/>
          <w:sz w:val="22"/>
          <w:szCs w:val="20"/>
          <w:lang w:val="fr-FR"/>
        </w:rPr>
        <w:t>Ministère des outre-mer :</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t>Le délégué général à l'outre-mer.</w:t>
      </w:r>
    </w:p>
    <w:p w:rsidR="007D48CC" w:rsidRPr="00B04060" w:rsidRDefault="007D48CC" w:rsidP="007D48CC">
      <w:pPr>
        <w:pStyle w:val="Paragraphedeliste"/>
        <w:spacing w:before="28" w:after="28"/>
        <w:jc w:val="left"/>
        <w:rPr>
          <w:rFonts w:ascii="Times New Roman" w:hAnsi="Times New Roman"/>
          <w:sz w:val="22"/>
          <w:szCs w:val="20"/>
          <w:lang w:val="fr-FR"/>
        </w:rPr>
      </w:pPr>
    </w:p>
    <w:p w:rsidR="007D48CC" w:rsidRPr="00B04060" w:rsidRDefault="007D48CC" w:rsidP="007D48CC">
      <w:pPr>
        <w:pStyle w:val="Paragraphedeliste"/>
        <w:numPr>
          <w:ilvl w:val="0"/>
          <w:numId w:val="20"/>
        </w:numPr>
        <w:suppressAutoHyphens/>
        <w:spacing w:before="28" w:after="28"/>
        <w:contextualSpacing w:val="0"/>
        <w:jc w:val="left"/>
        <w:rPr>
          <w:rFonts w:ascii="Times New Roman" w:hAnsi="Times New Roman"/>
          <w:sz w:val="22"/>
          <w:szCs w:val="20"/>
          <w:lang w:val="fr-FR"/>
        </w:rPr>
      </w:pPr>
      <w:r w:rsidRPr="00B04060">
        <w:rPr>
          <w:rFonts w:ascii="Times New Roman" w:hAnsi="Times New Roman"/>
          <w:sz w:val="22"/>
          <w:szCs w:val="20"/>
          <w:u w:val="single"/>
          <w:lang w:val="fr-FR"/>
        </w:rPr>
        <w:t xml:space="preserve">Les personnes qualifiées suivantes : </w:t>
      </w:r>
    </w:p>
    <w:p w:rsidR="007D48CC" w:rsidRPr="00B04060" w:rsidRDefault="007D48CC" w:rsidP="007D48CC">
      <w:pPr>
        <w:pStyle w:val="Paragraphedeliste"/>
        <w:spacing w:before="28" w:after="28"/>
        <w:jc w:val="left"/>
        <w:rPr>
          <w:rFonts w:ascii="Times New Roman" w:hAnsi="Times New Roman"/>
          <w:sz w:val="22"/>
          <w:szCs w:val="20"/>
          <w:lang w:val="fr-FR"/>
        </w:rPr>
      </w:pPr>
      <w:r w:rsidRPr="00B04060">
        <w:rPr>
          <w:rFonts w:ascii="Times New Roman" w:hAnsi="Times New Roman"/>
          <w:sz w:val="22"/>
          <w:szCs w:val="20"/>
          <w:lang w:val="fr-FR"/>
        </w:rPr>
        <w:br/>
        <w:t>Mme Claude-France Arnould, directrice exécutive de l'Agence européenne de défense ;</w:t>
      </w:r>
      <w:r w:rsidRPr="00B04060">
        <w:rPr>
          <w:rFonts w:ascii="Times New Roman" w:hAnsi="Times New Roman"/>
          <w:sz w:val="22"/>
          <w:szCs w:val="20"/>
          <w:lang w:val="fr-FR"/>
        </w:rPr>
        <w:br/>
        <w:t>M. Jean-François Bayart, directeur de recherches au Centre national de la recherche scientifique ;</w:t>
      </w:r>
      <w:r w:rsidRPr="00B04060">
        <w:rPr>
          <w:rFonts w:ascii="Times New Roman" w:hAnsi="Times New Roman"/>
          <w:sz w:val="22"/>
          <w:szCs w:val="20"/>
          <w:lang w:val="fr-FR"/>
        </w:rPr>
        <w:br/>
        <w:t>M. Bernard Bigot, administrateur général du Commissariat à l'énergie atomique et aux énergies alternatives ;</w:t>
      </w:r>
      <w:r w:rsidRPr="00B04060">
        <w:rPr>
          <w:rFonts w:ascii="Times New Roman" w:hAnsi="Times New Roman"/>
          <w:sz w:val="22"/>
          <w:szCs w:val="20"/>
          <w:lang w:val="fr-FR"/>
        </w:rPr>
        <w:br/>
        <w:t xml:space="preserve">M. Jean-Pierre </w:t>
      </w:r>
      <w:proofErr w:type="spellStart"/>
      <w:r w:rsidRPr="00B04060">
        <w:rPr>
          <w:rFonts w:ascii="Times New Roman" w:hAnsi="Times New Roman"/>
          <w:sz w:val="22"/>
          <w:szCs w:val="20"/>
          <w:lang w:val="fr-FR"/>
        </w:rPr>
        <w:t>Filiu</w:t>
      </w:r>
      <w:proofErr w:type="spellEnd"/>
      <w:r w:rsidRPr="00B04060">
        <w:rPr>
          <w:rFonts w:ascii="Times New Roman" w:hAnsi="Times New Roman"/>
          <w:sz w:val="22"/>
          <w:szCs w:val="20"/>
          <w:lang w:val="fr-FR"/>
        </w:rPr>
        <w:t>, professeur des universités, professeur associé à l'Institut d'études politiques de Paris ;</w:t>
      </w:r>
      <w:r w:rsidRPr="00B04060">
        <w:rPr>
          <w:rFonts w:ascii="Times New Roman" w:hAnsi="Times New Roman"/>
          <w:sz w:val="22"/>
          <w:szCs w:val="20"/>
          <w:lang w:val="fr-FR"/>
        </w:rPr>
        <w:br/>
        <w:t>M. Louis Gautier, conseiller maître à la Cour des comptes ;</w:t>
      </w:r>
      <w:r w:rsidRPr="00B04060">
        <w:rPr>
          <w:rFonts w:ascii="Times New Roman" w:hAnsi="Times New Roman"/>
          <w:sz w:val="22"/>
          <w:szCs w:val="20"/>
          <w:lang w:val="fr-FR"/>
        </w:rPr>
        <w:br/>
        <w:t>Mme Nicole Gnesotto, professeur titulaire de la chaire sur l'Union européenne au Conservatoire national des arts et métiers ;</w:t>
      </w:r>
      <w:r w:rsidRPr="00B04060">
        <w:rPr>
          <w:rFonts w:ascii="Times New Roman" w:hAnsi="Times New Roman"/>
          <w:sz w:val="22"/>
          <w:szCs w:val="20"/>
          <w:lang w:val="fr-FR"/>
        </w:rPr>
        <w:br/>
        <w:t>M. François Heisbourg, conseiller spécial du président de la Fondation pour la recherche stratégique ;</w:t>
      </w:r>
      <w:r w:rsidRPr="00B04060">
        <w:rPr>
          <w:rFonts w:ascii="Times New Roman" w:hAnsi="Times New Roman"/>
          <w:sz w:val="22"/>
          <w:szCs w:val="20"/>
          <w:lang w:val="fr-FR"/>
        </w:rPr>
        <w:br/>
        <w:t xml:space="preserve">M. Wolfgang </w:t>
      </w:r>
      <w:proofErr w:type="spellStart"/>
      <w:r w:rsidRPr="00B04060">
        <w:rPr>
          <w:rFonts w:ascii="Times New Roman" w:hAnsi="Times New Roman"/>
          <w:sz w:val="22"/>
          <w:szCs w:val="20"/>
          <w:lang w:val="fr-FR"/>
        </w:rPr>
        <w:t>Ischinger</w:t>
      </w:r>
      <w:proofErr w:type="spellEnd"/>
      <w:r w:rsidRPr="00B04060">
        <w:rPr>
          <w:rFonts w:ascii="Times New Roman" w:hAnsi="Times New Roman"/>
          <w:sz w:val="22"/>
          <w:szCs w:val="20"/>
          <w:lang w:val="fr-FR"/>
        </w:rPr>
        <w:t>, président de la Conférence de Munich pour les politiques de sécurité ;</w:t>
      </w:r>
      <w:r w:rsidRPr="00B04060">
        <w:rPr>
          <w:rFonts w:ascii="Times New Roman" w:hAnsi="Times New Roman"/>
          <w:sz w:val="22"/>
          <w:szCs w:val="20"/>
          <w:lang w:val="fr-FR"/>
        </w:rPr>
        <w:br/>
        <w:t>M. Philippe Lamy, inspecteur général de la ville de Paris ;</w:t>
      </w:r>
      <w:r w:rsidRPr="00B04060">
        <w:rPr>
          <w:rFonts w:ascii="Times New Roman" w:hAnsi="Times New Roman"/>
          <w:sz w:val="22"/>
          <w:szCs w:val="20"/>
          <w:lang w:val="fr-FR"/>
        </w:rPr>
        <w:br/>
        <w:t>Mme Sophie-Caroline de Margerie, conseiller d'Etat ;</w:t>
      </w:r>
      <w:r w:rsidRPr="00B04060">
        <w:rPr>
          <w:rFonts w:ascii="Times New Roman" w:hAnsi="Times New Roman"/>
          <w:sz w:val="22"/>
          <w:szCs w:val="20"/>
          <w:lang w:val="fr-FR"/>
        </w:rPr>
        <w:br/>
        <w:t xml:space="preserve">M. Peter </w:t>
      </w:r>
      <w:proofErr w:type="spellStart"/>
      <w:r w:rsidRPr="00B04060">
        <w:rPr>
          <w:rFonts w:ascii="Times New Roman" w:hAnsi="Times New Roman"/>
          <w:sz w:val="22"/>
          <w:szCs w:val="20"/>
          <w:lang w:val="fr-FR"/>
        </w:rPr>
        <w:t>Ricketts</w:t>
      </w:r>
      <w:proofErr w:type="spellEnd"/>
      <w:r w:rsidRPr="00B04060">
        <w:rPr>
          <w:rFonts w:ascii="Times New Roman" w:hAnsi="Times New Roman"/>
          <w:sz w:val="22"/>
          <w:szCs w:val="20"/>
          <w:lang w:val="fr-FR"/>
        </w:rPr>
        <w:t>, ambassadeur du Royaume-Uni de Grande-Bretagne et d'Irlande du Nord en France ;</w:t>
      </w:r>
      <w:r w:rsidRPr="00B04060">
        <w:rPr>
          <w:rFonts w:ascii="Times New Roman" w:hAnsi="Times New Roman"/>
          <w:sz w:val="22"/>
          <w:szCs w:val="20"/>
          <w:lang w:val="fr-FR"/>
        </w:rPr>
        <w:br/>
        <w:t>M. Bruno Tertrais, maître de recherche à la Fondation pour la recherche stratégique.</w:t>
      </w:r>
    </w:p>
    <w:p w:rsidR="005B1A2D" w:rsidRPr="00B04060" w:rsidRDefault="005B1A2D" w:rsidP="007D48CC">
      <w:pPr>
        <w:rPr>
          <w:sz w:val="22"/>
          <w:lang w:val="fr-FR"/>
        </w:rPr>
      </w:pPr>
    </w:p>
    <w:p w:rsidR="007D48CC" w:rsidRPr="00B04060" w:rsidRDefault="007D48CC" w:rsidP="007D48CC">
      <w:pPr>
        <w:rPr>
          <w:sz w:val="22"/>
          <w:lang w:val="fr-FR"/>
        </w:rPr>
      </w:pPr>
      <w:r w:rsidRPr="00B04060">
        <w:rPr>
          <w:sz w:val="22"/>
          <w:lang w:val="fr-FR"/>
        </w:rPr>
        <w:t>Article 4</w:t>
      </w:r>
    </w:p>
    <w:p w:rsidR="007D48CC" w:rsidRPr="00B04060" w:rsidRDefault="007D48CC" w:rsidP="007D48CC">
      <w:pPr>
        <w:spacing w:before="28" w:after="28"/>
        <w:rPr>
          <w:sz w:val="22"/>
          <w:lang w:val="fr-FR"/>
        </w:rPr>
      </w:pPr>
      <w:r w:rsidRPr="00B04060">
        <w:rPr>
          <w:sz w:val="22"/>
          <w:lang w:val="fr-FR"/>
        </w:rPr>
        <w:t>Le Premier ministre est chargé de l'exécution du présent décret, qui sera publié au Journal officiel de la République française.</w:t>
      </w:r>
    </w:p>
    <w:p w:rsidR="007D48CC" w:rsidRPr="00B04060" w:rsidRDefault="007D48CC" w:rsidP="007D48CC">
      <w:pPr>
        <w:pStyle w:val="NormalWeb"/>
        <w:rPr>
          <w:rFonts w:ascii="Times New Roman" w:hAnsi="Times New Roman" w:cs="Times New Roman"/>
          <w:sz w:val="22"/>
          <w:szCs w:val="20"/>
        </w:rPr>
      </w:pPr>
      <w:r w:rsidRPr="00B04060">
        <w:rPr>
          <w:rFonts w:ascii="Times New Roman" w:hAnsi="Times New Roman" w:cs="Times New Roman"/>
          <w:sz w:val="22"/>
          <w:szCs w:val="20"/>
        </w:rPr>
        <w:t>Fait le 26 juillet 2012.</w:t>
      </w:r>
    </w:p>
    <w:p w:rsidR="007D48CC" w:rsidRPr="00B04060" w:rsidRDefault="007D48CC" w:rsidP="007D48CC">
      <w:pPr>
        <w:pStyle w:val="NormalWeb"/>
        <w:jc w:val="center"/>
        <w:rPr>
          <w:rFonts w:ascii="Times New Roman" w:hAnsi="Times New Roman" w:cs="Times New Roman"/>
          <w:sz w:val="22"/>
          <w:szCs w:val="20"/>
        </w:rPr>
      </w:pPr>
      <w:r w:rsidRPr="00B04060">
        <w:rPr>
          <w:rFonts w:ascii="Times New Roman" w:hAnsi="Times New Roman" w:cs="Times New Roman"/>
          <w:sz w:val="22"/>
          <w:szCs w:val="20"/>
        </w:rPr>
        <w:t xml:space="preserve">François Hollande </w:t>
      </w:r>
    </w:p>
    <w:p w:rsidR="007D48CC" w:rsidRPr="00B04060" w:rsidRDefault="007D48CC" w:rsidP="007D48CC">
      <w:pPr>
        <w:pStyle w:val="NormalWeb"/>
        <w:rPr>
          <w:rFonts w:ascii="Times New Roman" w:hAnsi="Times New Roman" w:cs="Times New Roman"/>
          <w:sz w:val="22"/>
          <w:szCs w:val="20"/>
        </w:rPr>
      </w:pPr>
      <w:r w:rsidRPr="00B04060">
        <w:rPr>
          <w:rFonts w:ascii="Times New Roman" w:hAnsi="Times New Roman" w:cs="Times New Roman"/>
          <w:sz w:val="22"/>
          <w:szCs w:val="20"/>
        </w:rPr>
        <w:t>Par le Président de la République :</w:t>
      </w:r>
    </w:p>
    <w:p w:rsidR="007D48CC" w:rsidRPr="00B04060" w:rsidRDefault="007D48CC" w:rsidP="007D48CC">
      <w:pPr>
        <w:pStyle w:val="NormalWeb"/>
        <w:jc w:val="center"/>
        <w:rPr>
          <w:rFonts w:ascii="Times New Roman" w:hAnsi="Times New Roman" w:cs="Times New Roman"/>
          <w:b/>
          <w:sz w:val="22"/>
          <w:szCs w:val="20"/>
        </w:rPr>
      </w:pPr>
      <w:r w:rsidRPr="00B04060">
        <w:rPr>
          <w:rFonts w:ascii="Times New Roman" w:hAnsi="Times New Roman" w:cs="Times New Roman"/>
          <w:sz w:val="22"/>
          <w:szCs w:val="20"/>
        </w:rPr>
        <w:t>Le Premier ministre,</w:t>
      </w:r>
      <w:r w:rsidRPr="00B04060">
        <w:rPr>
          <w:rFonts w:ascii="Times New Roman" w:hAnsi="Times New Roman" w:cs="Times New Roman"/>
          <w:sz w:val="22"/>
          <w:szCs w:val="20"/>
        </w:rPr>
        <w:br/>
        <w:t>Jean-Marc Ayrault</w:t>
      </w:r>
    </w:p>
    <w:p w:rsidR="007D48CC" w:rsidRDefault="007D48CC" w:rsidP="007D48CC">
      <w:pPr>
        <w:rPr>
          <w:b/>
          <w:lang w:val="fr-FR"/>
        </w:rPr>
      </w:pPr>
    </w:p>
    <w:p w:rsidR="002704AD" w:rsidRDefault="00603254" w:rsidP="007D48CC">
      <w:pPr>
        <w:spacing w:after="360"/>
        <w:ind w:left="720"/>
        <w:jc w:val="both"/>
        <w:rPr>
          <w:rFonts w:ascii="Century Schoolbook" w:hAnsi="Century Schoolbook"/>
          <w:b/>
          <w:color w:val="1F497D"/>
          <w:sz w:val="36"/>
          <w:szCs w:val="36"/>
          <w:lang w:val="fr-BE"/>
        </w:rPr>
      </w:pPr>
      <w:r w:rsidRPr="00603254">
        <w:rPr>
          <w:rFonts w:ascii="Century Schoolbook" w:hAnsi="Century Schoolbook"/>
          <w:b/>
          <w:noProof/>
          <w:color w:val="1F497D"/>
          <w:sz w:val="36"/>
          <w:szCs w:val="36"/>
        </w:rPr>
        <w:pict>
          <v:rect id="_x0000_s1038" style="position:absolute;left:0;text-align:left;margin-left:-3.6pt;margin-top:19.95pt;width:36pt;height:63pt;z-index:2518179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" fillcolor="#1f497d" stroked="f" strokeweight="0" insetpen="t">
            <v:shadow color="#ccc"/>
            <v:textbox inset="2.88pt,2.88pt,2.88pt,2.88pt"/>
          </v:rect>
        </w:pict>
      </w:r>
      <w:r w:rsidR="007D48CC" w:rsidRPr="007D48CC">
        <w:rPr>
          <w:rFonts w:ascii="Century Schoolbook" w:hAnsi="Century Schoolbook"/>
          <w:b/>
          <w:color w:val="1F497D"/>
          <w:sz w:val="36"/>
          <w:szCs w:val="36"/>
          <w:lang w:val="fr-BE"/>
        </w:rPr>
        <w:t>Annexe 4 : Programmes principaux en coopération figurant dans le tableau de synthèse du rapport d’exécution 2011 de la lo</w:t>
      </w:r>
      <w:r w:rsidR="00FE24A3">
        <w:rPr>
          <w:rFonts w:ascii="Century Schoolbook" w:hAnsi="Century Schoolbook"/>
          <w:b/>
          <w:color w:val="1F497D"/>
          <w:sz w:val="36"/>
          <w:szCs w:val="36"/>
          <w:lang w:val="fr-BE"/>
        </w:rPr>
        <w:t>i de programmation militaire</w:t>
      </w:r>
    </w:p>
    <w:p w:rsidR="007D48CC" w:rsidRPr="002704AD" w:rsidRDefault="007D48CC" w:rsidP="002704AD">
      <w:pPr>
        <w:spacing w:after="360"/>
        <w:jc w:val="center"/>
        <w:rPr>
          <w:rFonts w:ascii="Century Schoolbook" w:hAnsi="Century Schoolbook"/>
          <w:b/>
          <w:color w:val="1F497D"/>
          <w:sz w:val="24"/>
          <w:szCs w:val="36"/>
          <w:lang w:val="fr-BE"/>
        </w:rPr>
      </w:pPr>
      <w:r w:rsidRPr="002704AD">
        <w:rPr>
          <w:rFonts w:ascii="Century Schoolbook" w:hAnsi="Century Schoolbook"/>
          <w:b/>
          <w:color w:val="1F497D"/>
          <w:sz w:val="24"/>
          <w:szCs w:val="36"/>
          <w:lang w:val="fr-BE"/>
        </w:rPr>
        <w:t>Rapport d’information n°1233 relatif à une revue capacitaire des armées, Assemblée nationale, Paris, 10 juillet 2013, pp. 79-81</w:t>
      </w:r>
    </w:p>
    <w:p w:rsidR="007D48CC" w:rsidRDefault="007D48CC" w:rsidP="007D48CC">
      <w:pPr>
        <w:jc w:val="center"/>
        <w:rPr>
          <w:b/>
          <w:lang w:val="fr-FR"/>
        </w:rPr>
      </w:pPr>
    </w:p>
    <w:p w:rsidR="007D48CC" w:rsidRDefault="007D48CC" w:rsidP="007D48CC">
      <w:pPr>
        <w:rPr>
          <w:b/>
          <w:lang w:val="fr-FR"/>
        </w:rPr>
      </w:pPr>
      <w:r>
        <w:rPr>
          <w:noProof/>
          <w:lang w:val="fr-BE" w:eastAsia="fr-BE"/>
        </w:rPr>
        <w:drawing>
          <wp:inline distT="0" distB="0" distL="0" distR="0">
            <wp:extent cx="5753100" cy="5958840"/>
            <wp:effectExtent l="0" t="0" r="0" b="3810"/>
            <wp:docPr id="5722" name="Pictur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5958840"/>
                    </a:xfrm>
                    <a:prstGeom prst="rect">
                      <a:avLst/>
                    </a:prstGeom>
                    <a:solidFill>
                      <a:srgbClr val="FFFFFF"/>
                    </a:solidFill>
                    <a:ln>
                      <a:noFill/>
                    </a:ln>
                  </pic:spPr>
                </pic:pic>
              </a:graphicData>
            </a:graphic>
          </wp:inline>
        </w:drawing>
      </w:r>
    </w:p>
    <w:p w:rsidR="007D48CC" w:rsidRDefault="007D48CC" w:rsidP="007D48CC">
      <w:pPr>
        <w:rPr>
          <w:b/>
          <w:lang w:val="fr-FR"/>
        </w:rPr>
      </w:pPr>
    </w:p>
    <w:p w:rsidR="007D48CC" w:rsidRDefault="007D48CC" w:rsidP="007D48CC">
      <w:pPr>
        <w:rPr>
          <w:b/>
          <w:lang w:val="fr-FR"/>
        </w:rPr>
      </w:pPr>
      <w:r>
        <w:rPr>
          <w:noProof/>
          <w:lang w:val="fr-BE" w:eastAsia="fr-BE"/>
        </w:rPr>
        <w:lastRenderedPageBreak/>
        <w:drawing>
          <wp:inline distT="0" distB="0" distL="0" distR="0">
            <wp:extent cx="5753100" cy="7528560"/>
            <wp:effectExtent l="0" t="0" r="0" b="0"/>
            <wp:docPr id="5721" name="Pictur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7528560"/>
                    </a:xfrm>
                    <a:prstGeom prst="rect">
                      <a:avLst/>
                    </a:prstGeom>
                    <a:solidFill>
                      <a:srgbClr val="FFFFFF"/>
                    </a:solidFill>
                    <a:ln>
                      <a:noFill/>
                    </a:ln>
                  </pic:spPr>
                </pic:pic>
              </a:graphicData>
            </a:graphic>
          </wp:inline>
        </w:drawing>
      </w:r>
      <w:r>
        <w:rPr>
          <w:b/>
          <w:lang w:val="fr-FR"/>
        </w:rPr>
        <w:t xml:space="preserve"> </w:t>
      </w:r>
      <w:r>
        <w:rPr>
          <w:noProof/>
          <w:lang w:val="fr-BE" w:eastAsia="fr-BE"/>
        </w:rPr>
        <w:lastRenderedPageBreak/>
        <w:drawing>
          <wp:inline distT="0" distB="0" distL="0" distR="0">
            <wp:extent cx="5768340" cy="4457700"/>
            <wp:effectExtent l="0" t="0" r="3810" b="0"/>
            <wp:docPr id="5720" name="Picture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8340" cy="4457700"/>
                    </a:xfrm>
                    <a:prstGeom prst="rect">
                      <a:avLst/>
                    </a:prstGeom>
                    <a:solidFill>
                      <a:srgbClr val="FFFFFF"/>
                    </a:solidFill>
                    <a:ln>
                      <a:noFill/>
                    </a:ln>
                  </pic:spPr>
                </pic:pic>
              </a:graphicData>
            </a:graphic>
          </wp:inline>
        </w:drawing>
      </w:r>
    </w:p>
    <w:p w:rsidR="005816D8" w:rsidRDefault="005816D8">
      <w:pPr>
        <w:rPr>
          <w:b/>
          <w:lang w:val="fr-FR"/>
        </w:rPr>
      </w:pPr>
    </w:p>
    <w:p w:rsidR="005816D8" w:rsidRDefault="005816D8">
      <w:pPr>
        <w:rPr>
          <w:b/>
          <w:lang w:val="fr-FR"/>
        </w:rPr>
      </w:pPr>
      <w:r>
        <w:rPr>
          <w:b/>
          <w:lang w:val="fr-FR"/>
        </w:rPr>
        <w:br w:type="page"/>
      </w:r>
    </w:p>
    <w:p w:rsidR="002704AD" w:rsidRDefault="002704AD">
      <w:pPr>
        <w:rPr>
          <w:b/>
          <w:lang w:val="fr-FR"/>
        </w:rPr>
      </w:pPr>
    </w:p>
    <w:p w:rsidR="007D48CC" w:rsidRDefault="00603254" w:rsidP="007D48CC">
      <w:pPr>
        <w:rPr>
          <w:b/>
          <w:lang w:val="fr-FR"/>
        </w:rPr>
      </w:pPr>
      <w:r w:rsidRPr="00603254">
        <w:rPr>
          <w:rFonts w:ascii="Century Schoolbook" w:hAnsi="Century Schoolbook"/>
          <w:b/>
          <w:noProof/>
          <w:color w:val="1F497D"/>
          <w:sz w:val="36"/>
          <w:szCs w:val="36"/>
        </w:rPr>
        <w:pict>
          <v:rect id="_x0000_s1037" style="position:absolute;margin-left:-6.6pt;margin-top:-12.45pt;width:36pt;height:63pt;z-index:2518200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" fillcolor="#1f497d" stroked="f" strokeweight="0" insetpen="t">
            <v:shadow color="#ccc"/>
            <v:textbox inset="2.88pt,2.88pt,2.88pt,2.88pt"/>
          </v:rect>
        </w:pict>
      </w:r>
    </w:p>
    <w:p w:rsidR="007D48CC" w:rsidRPr="007D48CC" w:rsidRDefault="007D48CC" w:rsidP="007D48CC">
      <w:pPr>
        <w:spacing w:after="360"/>
        <w:ind w:left="720"/>
        <w:jc w:val="both"/>
        <w:rPr>
          <w:rFonts w:ascii="Century Schoolbook" w:hAnsi="Century Schoolbook"/>
          <w:b/>
          <w:color w:val="1F497D"/>
          <w:sz w:val="36"/>
          <w:szCs w:val="36"/>
          <w:lang w:val="fr-BE"/>
        </w:rPr>
      </w:pPr>
      <w:r w:rsidRPr="007D48CC">
        <w:rPr>
          <w:rFonts w:ascii="Century Schoolbook" w:hAnsi="Century Schoolbook"/>
          <w:b/>
          <w:color w:val="1F497D"/>
          <w:sz w:val="36"/>
          <w:szCs w:val="36"/>
          <w:lang w:val="fr-BE"/>
        </w:rPr>
        <w:t>Annexe 5 : Composition des équipes de la commission du Livre blanc 2013</w:t>
      </w:r>
    </w:p>
    <w:p w:rsidR="007D48CC" w:rsidRDefault="007D48CC" w:rsidP="007D48CC">
      <w:pPr>
        <w:rPr>
          <w:b/>
          <w:lang w:val="fr-FR"/>
        </w:rPr>
      </w:pPr>
    </w:p>
    <w:p w:rsidR="007D48CC" w:rsidRDefault="007D48CC" w:rsidP="007D48CC">
      <w:pPr>
        <w:ind w:left="352"/>
        <w:rPr>
          <w:szCs w:val="24"/>
          <w:lang w:val="fr-FR"/>
        </w:rPr>
      </w:pPr>
    </w:p>
    <w:p w:rsidR="007D48CC" w:rsidRDefault="007D48CC" w:rsidP="007D48CC">
      <w:pPr>
        <w:ind w:left="352"/>
        <w:rPr>
          <w:lang w:val="fr-FR"/>
        </w:rPr>
      </w:pPr>
    </w:p>
    <w:p w:rsidR="007D48CC" w:rsidRPr="00B04060" w:rsidRDefault="007D48CC" w:rsidP="007D48CC">
      <w:pPr>
        <w:ind w:left="352"/>
        <w:rPr>
          <w:sz w:val="22"/>
          <w:lang w:val="fr-FR"/>
        </w:rPr>
      </w:pPr>
      <w:r w:rsidRPr="00B04060">
        <w:rPr>
          <w:sz w:val="22"/>
          <w:lang w:val="fr-FR"/>
        </w:rPr>
        <w:t>• Président : monsieur Jean-Marie Guéhenno, conseiller maître à la Cour des comptes</w:t>
      </w:r>
    </w:p>
    <w:p w:rsidR="007D48CC" w:rsidRPr="00B04060" w:rsidRDefault="007D48CC" w:rsidP="007D48CC">
      <w:pPr>
        <w:ind w:left="352"/>
        <w:rPr>
          <w:sz w:val="22"/>
          <w:lang w:val="fr-FR"/>
        </w:rPr>
      </w:pPr>
      <w:r w:rsidRPr="00B04060">
        <w:rPr>
          <w:sz w:val="22"/>
          <w:lang w:val="fr-FR"/>
        </w:rPr>
        <w:t>• Rapporteur général : monsieur Jacques Tournier, conseiller maître à la Cour des comptes</w:t>
      </w:r>
    </w:p>
    <w:p w:rsidR="007D48CC" w:rsidRPr="00B04060" w:rsidRDefault="007D48CC" w:rsidP="007D48CC">
      <w:pPr>
        <w:ind w:left="352"/>
        <w:rPr>
          <w:sz w:val="22"/>
          <w:lang w:val="fr-FR"/>
        </w:rPr>
      </w:pPr>
      <w:r w:rsidRPr="00B04060">
        <w:rPr>
          <w:sz w:val="22"/>
          <w:lang w:val="fr-FR"/>
        </w:rPr>
        <w:t xml:space="preserve">• Secrétaire général : vice-amiral (2S) Michel </w:t>
      </w:r>
      <w:proofErr w:type="spellStart"/>
      <w:r w:rsidRPr="00B04060">
        <w:rPr>
          <w:sz w:val="22"/>
          <w:lang w:val="fr-FR"/>
        </w:rPr>
        <w:t>Benedittini</w:t>
      </w:r>
      <w:proofErr w:type="spellEnd"/>
    </w:p>
    <w:p w:rsidR="007D48CC" w:rsidRPr="00B04060" w:rsidRDefault="007D48CC" w:rsidP="007D48CC">
      <w:pPr>
        <w:ind w:left="352"/>
        <w:rPr>
          <w:sz w:val="22"/>
          <w:lang w:val="fr-FR"/>
        </w:rPr>
      </w:pPr>
      <w:r w:rsidRPr="00B04060">
        <w:rPr>
          <w:sz w:val="22"/>
          <w:lang w:val="fr-FR"/>
        </w:rPr>
        <w:t xml:space="preserve">• Conseillers militaires : colonel Nicolas Le Nen et colonel Randal </w:t>
      </w:r>
      <w:proofErr w:type="spellStart"/>
      <w:r w:rsidRPr="00B04060">
        <w:rPr>
          <w:sz w:val="22"/>
          <w:lang w:val="fr-FR"/>
        </w:rPr>
        <w:t>Zbienen</w:t>
      </w:r>
      <w:proofErr w:type="spellEnd"/>
    </w:p>
    <w:p w:rsidR="007D48CC" w:rsidRPr="00B04060" w:rsidRDefault="007D48CC" w:rsidP="007D48CC">
      <w:pPr>
        <w:ind w:left="352"/>
        <w:rPr>
          <w:sz w:val="22"/>
          <w:lang w:val="fr-FR"/>
        </w:rPr>
      </w:pPr>
      <w:r w:rsidRPr="00B04060">
        <w:rPr>
          <w:sz w:val="22"/>
          <w:lang w:val="fr-FR"/>
        </w:rPr>
        <w:t xml:space="preserve">• Rapporteurs adjoints : madame </w:t>
      </w:r>
      <w:proofErr w:type="spellStart"/>
      <w:r w:rsidRPr="00B04060">
        <w:rPr>
          <w:sz w:val="22"/>
          <w:lang w:val="fr-FR"/>
        </w:rPr>
        <w:t>Anissia</w:t>
      </w:r>
      <w:proofErr w:type="spellEnd"/>
      <w:r w:rsidRPr="00B04060">
        <w:rPr>
          <w:sz w:val="22"/>
          <w:lang w:val="fr-FR"/>
        </w:rPr>
        <w:t xml:space="preserve"> Morel et monsieur Christophe </w:t>
      </w:r>
      <w:proofErr w:type="spellStart"/>
      <w:r w:rsidRPr="00B04060">
        <w:rPr>
          <w:sz w:val="22"/>
          <w:lang w:val="fr-FR"/>
        </w:rPr>
        <w:t>Strassel</w:t>
      </w:r>
      <w:proofErr w:type="spellEnd"/>
    </w:p>
    <w:p w:rsidR="007D48CC" w:rsidRPr="00B04060" w:rsidRDefault="007D48CC" w:rsidP="007D48CC">
      <w:pPr>
        <w:ind w:left="352"/>
        <w:rPr>
          <w:sz w:val="22"/>
          <w:lang w:val="fr-FR"/>
        </w:rPr>
      </w:pPr>
    </w:p>
    <w:p w:rsidR="007D48CC" w:rsidRPr="00B04060" w:rsidRDefault="007D48CC" w:rsidP="007D48CC">
      <w:pPr>
        <w:ind w:left="352"/>
        <w:rPr>
          <w:sz w:val="22"/>
          <w:lang w:val="fr-FR"/>
        </w:rPr>
      </w:pPr>
      <w:r w:rsidRPr="00B04060">
        <w:rPr>
          <w:sz w:val="22"/>
          <w:lang w:val="fr-FR"/>
        </w:rPr>
        <w:t>Les groupes de travail</w:t>
      </w:r>
    </w:p>
    <w:p w:rsidR="007D48CC" w:rsidRPr="00B04060" w:rsidRDefault="007D48CC" w:rsidP="007D48CC">
      <w:pPr>
        <w:ind w:left="352"/>
        <w:rPr>
          <w:sz w:val="22"/>
          <w:lang w:val="fr-FR"/>
        </w:rPr>
      </w:pPr>
      <w:r w:rsidRPr="00B04060">
        <w:rPr>
          <w:sz w:val="22"/>
          <w:lang w:val="fr-FR"/>
        </w:rPr>
        <w:t>GT1 : Le contexte stratégique</w:t>
      </w:r>
    </w:p>
    <w:p w:rsidR="007D48CC" w:rsidRPr="00B04060" w:rsidRDefault="007D48CC" w:rsidP="007D48CC">
      <w:pPr>
        <w:ind w:left="352"/>
        <w:rPr>
          <w:sz w:val="22"/>
          <w:lang w:val="fr-FR"/>
        </w:rPr>
      </w:pPr>
      <w:r w:rsidRPr="00B04060">
        <w:rPr>
          <w:sz w:val="22"/>
          <w:lang w:val="fr-FR"/>
        </w:rPr>
        <w:t>Président : monsieur Bruno Tertrais</w:t>
      </w:r>
    </w:p>
    <w:p w:rsidR="007D48CC" w:rsidRPr="00B04060" w:rsidRDefault="007D48CC" w:rsidP="007D48CC">
      <w:pPr>
        <w:ind w:left="352"/>
        <w:rPr>
          <w:sz w:val="22"/>
          <w:lang w:val="fr-FR"/>
        </w:rPr>
      </w:pPr>
      <w:r w:rsidRPr="00B04060">
        <w:rPr>
          <w:sz w:val="22"/>
          <w:lang w:val="fr-FR"/>
        </w:rPr>
        <w:t xml:space="preserve">Rapporteurs : messieurs Nicolas </w:t>
      </w:r>
      <w:proofErr w:type="spellStart"/>
      <w:r w:rsidRPr="00B04060">
        <w:rPr>
          <w:sz w:val="22"/>
          <w:lang w:val="fr-FR"/>
        </w:rPr>
        <w:t>Regaud</w:t>
      </w:r>
      <w:proofErr w:type="spellEnd"/>
      <w:r w:rsidRPr="00B04060">
        <w:rPr>
          <w:sz w:val="22"/>
          <w:lang w:val="fr-FR"/>
        </w:rPr>
        <w:t xml:space="preserve"> et Jean </w:t>
      </w:r>
      <w:proofErr w:type="spellStart"/>
      <w:r w:rsidRPr="00B04060">
        <w:rPr>
          <w:sz w:val="22"/>
          <w:lang w:val="fr-FR"/>
        </w:rPr>
        <w:t>Messiha</w:t>
      </w:r>
      <w:proofErr w:type="spellEnd"/>
    </w:p>
    <w:p w:rsidR="007D48CC" w:rsidRPr="00B04060" w:rsidRDefault="007D48CC" w:rsidP="007D48CC">
      <w:pPr>
        <w:ind w:left="352"/>
        <w:rPr>
          <w:sz w:val="22"/>
          <w:lang w:val="fr-FR"/>
        </w:rPr>
      </w:pPr>
    </w:p>
    <w:p w:rsidR="007D48CC" w:rsidRPr="00B04060" w:rsidRDefault="007D48CC" w:rsidP="007D48CC">
      <w:pPr>
        <w:ind w:left="352"/>
        <w:rPr>
          <w:sz w:val="22"/>
          <w:lang w:val="fr-FR"/>
        </w:rPr>
      </w:pPr>
      <w:r w:rsidRPr="00B04060">
        <w:rPr>
          <w:sz w:val="22"/>
          <w:lang w:val="fr-FR"/>
        </w:rPr>
        <w:t>GT2 : Cadre d'action et objectifs politiques</w:t>
      </w:r>
    </w:p>
    <w:p w:rsidR="007D48CC" w:rsidRPr="00B04060" w:rsidRDefault="007D48CC" w:rsidP="007D48CC">
      <w:pPr>
        <w:ind w:left="352"/>
        <w:rPr>
          <w:sz w:val="22"/>
          <w:lang w:val="fr-FR"/>
        </w:rPr>
      </w:pPr>
      <w:r w:rsidRPr="00B04060">
        <w:rPr>
          <w:sz w:val="22"/>
          <w:lang w:val="fr-FR"/>
        </w:rPr>
        <w:t>Co-présidents : madame Nicole Gnesotto et monsieur Louis Gautier</w:t>
      </w:r>
    </w:p>
    <w:p w:rsidR="007D48CC" w:rsidRPr="00B04060" w:rsidRDefault="007D48CC" w:rsidP="007D48CC">
      <w:pPr>
        <w:ind w:left="352"/>
        <w:rPr>
          <w:sz w:val="22"/>
          <w:lang w:val="fr-FR"/>
        </w:rPr>
      </w:pPr>
      <w:r w:rsidRPr="00B04060">
        <w:rPr>
          <w:sz w:val="22"/>
          <w:lang w:val="fr-FR"/>
        </w:rPr>
        <w:t>Rapporteur : monsieur Pierre Michel</w:t>
      </w:r>
    </w:p>
    <w:p w:rsidR="007D48CC" w:rsidRPr="00B04060" w:rsidRDefault="007D48CC" w:rsidP="007D48CC">
      <w:pPr>
        <w:ind w:left="352"/>
        <w:rPr>
          <w:sz w:val="22"/>
          <w:lang w:val="fr-FR"/>
        </w:rPr>
      </w:pPr>
    </w:p>
    <w:p w:rsidR="007D48CC" w:rsidRPr="00B04060" w:rsidRDefault="007D48CC" w:rsidP="007D48CC">
      <w:pPr>
        <w:ind w:left="352"/>
        <w:rPr>
          <w:sz w:val="22"/>
          <w:lang w:val="fr-FR"/>
        </w:rPr>
      </w:pPr>
      <w:r w:rsidRPr="00B04060">
        <w:rPr>
          <w:sz w:val="22"/>
          <w:lang w:val="fr-FR"/>
        </w:rPr>
        <w:t>GT3 : Sécurité nationale, sécurité de la nation</w:t>
      </w:r>
    </w:p>
    <w:p w:rsidR="007D48CC" w:rsidRPr="00B04060" w:rsidRDefault="007D48CC" w:rsidP="007D48CC">
      <w:pPr>
        <w:ind w:left="352"/>
        <w:rPr>
          <w:sz w:val="22"/>
          <w:lang w:val="fr-FR"/>
        </w:rPr>
      </w:pPr>
      <w:r w:rsidRPr="00B04060">
        <w:rPr>
          <w:sz w:val="22"/>
          <w:lang w:val="fr-FR"/>
        </w:rPr>
        <w:t>Président : monsieur Denis Prieur</w:t>
      </w:r>
    </w:p>
    <w:p w:rsidR="007D48CC" w:rsidRPr="00B04060" w:rsidRDefault="007D48CC" w:rsidP="007D48CC">
      <w:pPr>
        <w:ind w:left="352"/>
        <w:rPr>
          <w:sz w:val="22"/>
          <w:lang w:val="fr-FR"/>
        </w:rPr>
      </w:pPr>
      <w:r w:rsidRPr="00B04060">
        <w:rPr>
          <w:sz w:val="22"/>
          <w:lang w:val="fr-FR"/>
        </w:rPr>
        <w:t xml:space="preserve">Vice-président : préfet Yann </w:t>
      </w:r>
      <w:proofErr w:type="spellStart"/>
      <w:r w:rsidRPr="00B04060">
        <w:rPr>
          <w:sz w:val="22"/>
          <w:lang w:val="fr-FR"/>
        </w:rPr>
        <w:t>Jounot</w:t>
      </w:r>
      <w:proofErr w:type="spellEnd"/>
    </w:p>
    <w:p w:rsidR="007D48CC" w:rsidRPr="00B04060" w:rsidRDefault="007D48CC" w:rsidP="007D48CC">
      <w:pPr>
        <w:ind w:left="352"/>
        <w:rPr>
          <w:sz w:val="22"/>
          <w:lang w:val="fr-FR"/>
        </w:rPr>
      </w:pPr>
      <w:r w:rsidRPr="00B04060">
        <w:rPr>
          <w:sz w:val="22"/>
          <w:lang w:val="fr-FR"/>
        </w:rPr>
        <w:t xml:space="preserve">Rapporteurs : madame Philippine </w:t>
      </w:r>
      <w:proofErr w:type="spellStart"/>
      <w:r w:rsidRPr="00B04060">
        <w:rPr>
          <w:sz w:val="22"/>
          <w:lang w:val="fr-FR"/>
        </w:rPr>
        <w:t>Bentegeat</w:t>
      </w:r>
      <w:proofErr w:type="spellEnd"/>
      <w:r w:rsidRPr="00B04060">
        <w:rPr>
          <w:sz w:val="22"/>
          <w:lang w:val="fr-FR"/>
        </w:rPr>
        <w:t xml:space="preserve"> et monsieur Bachir </w:t>
      </w:r>
      <w:proofErr w:type="spellStart"/>
      <w:r w:rsidRPr="00B04060">
        <w:rPr>
          <w:sz w:val="22"/>
          <w:lang w:val="fr-FR"/>
        </w:rPr>
        <w:t>Bakhti</w:t>
      </w:r>
      <w:proofErr w:type="spellEnd"/>
    </w:p>
    <w:p w:rsidR="007D48CC" w:rsidRPr="00B04060" w:rsidRDefault="007D48CC" w:rsidP="007D48CC">
      <w:pPr>
        <w:ind w:left="352"/>
        <w:rPr>
          <w:sz w:val="22"/>
          <w:lang w:val="fr-FR"/>
        </w:rPr>
      </w:pPr>
    </w:p>
    <w:p w:rsidR="007D48CC" w:rsidRPr="00B04060" w:rsidRDefault="007D48CC" w:rsidP="007D48CC">
      <w:pPr>
        <w:ind w:left="352"/>
        <w:rPr>
          <w:sz w:val="22"/>
          <w:lang w:val="fr-FR"/>
        </w:rPr>
      </w:pPr>
      <w:r w:rsidRPr="00B04060">
        <w:rPr>
          <w:sz w:val="22"/>
          <w:lang w:val="fr-FR"/>
        </w:rPr>
        <w:t>GT4 : Renseignement</w:t>
      </w:r>
    </w:p>
    <w:p w:rsidR="007D48CC" w:rsidRPr="00B04060" w:rsidRDefault="007D48CC" w:rsidP="007D48CC">
      <w:pPr>
        <w:ind w:left="352"/>
        <w:rPr>
          <w:sz w:val="22"/>
          <w:lang w:val="fr-FR"/>
        </w:rPr>
      </w:pPr>
      <w:r w:rsidRPr="00B04060">
        <w:rPr>
          <w:sz w:val="22"/>
          <w:lang w:val="fr-FR"/>
        </w:rPr>
        <w:t>Président : monsieur Jean-Marie Guéhenno</w:t>
      </w:r>
    </w:p>
    <w:p w:rsidR="007D48CC" w:rsidRPr="00B04060" w:rsidRDefault="007D48CC" w:rsidP="007D48CC">
      <w:pPr>
        <w:ind w:left="352"/>
        <w:rPr>
          <w:sz w:val="22"/>
          <w:lang w:val="fr-FR"/>
        </w:rPr>
      </w:pPr>
      <w:r w:rsidRPr="00B04060">
        <w:rPr>
          <w:sz w:val="22"/>
          <w:lang w:val="fr-FR"/>
        </w:rPr>
        <w:t>Vice-président : préfet Ange Mancini</w:t>
      </w:r>
    </w:p>
    <w:p w:rsidR="007D48CC" w:rsidRPr="00B04060" w:rsidRDefault="007D48CC" w:rsidP="007D48CC">
      <w:pPr>
        <w:ind w:left="352"/>
        <w:rPr>
          <w:sz w:val="22"/>
          <w:lang w:val="fr-FR"/>
        </w:rPr>
      </w:pPr>
      <w:r w:rsidRPr="00B04060">
        <w:rPr>
          <w:sz w:val="22"/>
          <w:lang w:val="fr-FR"/>
        </w:rPr>
        <w:t xml:space="preserve">Rapporteur : monsieur Arnaud de </w:t>
      </w:r>
      <w:proofErr w:type="spellStart"/>
      <w:r w:rsidRPr="00B04060">
        <w:rPr>
          <w:sz w:val="22"/>
          <w:lang w:val="fr-FR"/>
        </w:rPr>
        <w:t>Pellegars</w:t>
      </w:r>
      <w:proofErr w:type="spellEnd"/>
    </w:p>
    <w:p w:rsidR="007D48CC" w:rsidRPr="00B04060" w:rsidRDefault="007D48CC" w:rsidP="007D48CC">
      <w:pPr>
        <w:ind w:left="352"/>
        <w:rPr>
          <w:sz w:val="22"/>
          <w:lang w:val="fr-FR"/>
        </w:rPr>
      </w:pPr>
    </w:p>
    <w:p w:rsidR="007D48CC" w:rsidRPr="00B04060" w:rsidRDefault="007D48CC" w:rsidP="007D48CC">
      <w:pPr>
        <w:ind w:left="352"/>
        <w:rPr>
          <w:sz w:val="22"/>
          <w:lang w:val="fr-FR"/>
        </w:rPr>
      </w:pPr>
      <w:r w:rsidRPr="00B04060">
        <w:rPr>
          <w:sz w:val="22"/>
          <w:lang w:val="fr-FR"/>
        </w:rPr>
        <w:t>GT5 : Stratégie d'engagement et cohérence des systèmes de force</w:t>
      </w:r>
    </w:p>
    <w:p w:rsidR="007D48CC" w:rsidRPr="00B04060" w:rsidRDefault="007D48CC" w:rsidP="007D48CC">
      <w:pPr>
        <w:ind w:left="352"/>
        <w:rPr>
          <w:sz w:val="22"/>
          <w:lang w:val="fr-FR"/>
        </w:rPr>
      </w:pPr>
      <w:r w:rsidRPr="00B04060">
        <w:rPr>
          <w:sz w:val="22"/>
          <w:lang w:val="fr-FR"/>
        </w:rPr>
        <w:t>Président : monsieur Jean-Marie Guéhenno</w:t>
      </w:r>
    </w:p>
    <w:p w:rsidR="007D48CC" w:rsidRPr="00B04060" w:rsidRDefault="007D48CC" w:rsidP="007D48CC">
      <w:pPr>
        <w:ind w:left="352"/>
        <w:rPr>
          <w:sz w:val="22"/>
          <w:lang w:val="fr-FR"/>
        </w:rPr>
      </w:pPr>
      <w:r w:rsidRPr="00B04060">
        <w:rPr>
          <w:sz w:val="22"/>
          <w:lang w:val="fr-FR"/>
        </w:rPr>
        <w:t xml:space="preserve">Vice-président : général d'armée (2S) Bernard </w:t>
      </w:r>
      <w:proofErr w:type="spellStart"/>
      <w:r w:rsidRPr="00B04060">
        <w:rPr>
          <w:sz w:val="22"/>
          <w:lang w:val="fr-FR"/>
        </w:rPr>
        <w:t>Thorette</w:t>
      </w:r>
      <w:proofErr w:type="spellEnd"/>
    </w:p>
    <w:p w:rsidR="007D48CC" w:rsidRPr="00B04060" w:rsidRDefault="007D48CC" w:rsidP="007D48CC">
      <w:pPr>
        <w:ind w:left="352"/>
        <w:rPr>
          <w:sz w:val="22"/>
          <w:lang w:val="fr-FR"/>
        </w:rPr>
      </w:pPr>
      <w:r w:rsidRPr="00B04060">
        <w:rPr>
          <w:sz w:val="22"/>
          <w:lang w:val="fr-FR"/>
        </w:rPr>
        <w:t xml:space="preserve">Rapporteurs : colonel Marc de Fritsch, capitaine de vaisseau François-Xavier Blin et colonel Frédéric </w:t>
      </w:r>
      <w:proofErr w:type="spellStart"/>
      <w:r w:rsidRPr="00B04060">
        <w:rPr>
          <w:sz w:val="22"/>
          <w:lang w:val="fr-FR"/>
        </w:rPr>
        <w:t>Parisot</w:t>
      </w:r>
      <w:proofErr w:type="spellEnd"/>
    </w:p>
    <w:p w:rsidR="007D48CC" w:rsidRPr="00B04060" w:rsidRDefault="007D48CC" w:rsidP="007D48CC">
      <w:pPr>
        <w:ind w:left="352"/>
        <w:rPr>
          <w:sz w:val="22"/>
          <w:lang w:val="fr-FR"/>
        </w:rPr>
      </w:pPr>
    </w:p>
    <w:p w:rsidR="007D48CC" w:rsidRPr="00B04060" w:rsidRDefault="007D48CC" w:rsidP="007D48CC">
      <w:pPr>
        <w:ind w:left="352"/>
        <w:rPr>
          <w:sz w:val="22"/>
          <w:lang w:val="fr-FR"/>
        </w:rPr>
      </w:pPr>
      <w:r w:rsidRPr="00B04060">
        <w:rPr>
          <w:sz w:val="22"/>
          <w:lang w:val="fr-FR"/>
        </w:rPr>
        <w:t>GT6 : Technologies et industrie : l'économie de la défense</w:t>
      </w:r>
    </w:p>
    <w:p w:rsidR="007D48CC" w:rsidRPr="00B04060" w:rsidRDefault="007D48CC" w:rsidP="007D48CC">
      <w:pPr>
        <w:ind w:left="352"/>
        <w:rPr>
          <w:sz w:val="22"/>
          <w:lang w:val="fr-FR"/>
        </w:rPr>
      </w:pPr>
      <w:r w:rsidRPr="00B04060">
        <w:rPr>
          <w:sz w:val="22"/>
          <w:lang w:val="fr-FR"/>
        </w:rPr>
        <w:t>Président : monsieur Jean-Marie Guéhenno</w:t>
      </w:r>
    </w:p>
    <w:p w:rsidR="007D48CC" w:rsidRPr="00B04060" w:rsidRDefault="007D48CC" w:rsidP="007D48CC">
      <w:pPr>
        <w:ind w:left="352"/>
        <w:rPr>
          <w:sz w:val="22"/>
          <w:lang w:val="fr-FR"/>
        </w:rPr>
      </w:pPr>
      <w:r w:rsidRPr="00B04060">
        <w:rPr>
          <w:sz w:val="22"/>
          <w:lang w:val="fr-FR"/>
        </w:rPr>
        <w:t>Vice-président : monsieur Pascal Colombani</w:t>
      </w:r>
    </w:p>
    <w:p w:rsidR="007D48CC" w:rsidRPr="00B04060" w:rsidRDefault="007D48CC" w:rsidP="007D48CC">
      <w:pPr>
        <w:ind w:left="352"/>
        <w:rPr>
          <w:sz w:val="22"/>
          <w:lang w:val="fr-FR"/>
        </w:rPr>
      </w:pPr>
      <w:r w:rsidRPr="00B04060">
        <w:rPr>
          <w:sz w:val="22"/>
          <w:lang w:val="fr-FR"/>
        </w:rPr>
        <w:t>Rapporteur : ingénieur en chef de l'armement Thérèse Vivier</w:t>
      </w:r>
    </w:p>
    <w:p w:rsidR="007D48CC" w:rsidRPr="00B04060" w:rsidRDefault="007D48CC" w:rsidP="007D48CC">
      <w:pPr>
        <w:ind w:left="352"/>
        <w:rPr>
          <w:sz w:val="22"/>
          <w:lang w:val="fr-FR"/>
        </w:rPr>
      </w:pPr>
    </w:p>
    <w:p w:rsidR="007D48CC" w:rsidRPr="00B04060" w:rsidRDefault="007D48CC" w:rsidP="007D48CC">
      <w:pPr>
        <w:ind w:left="352"/>
        <w:rPr>
          <w:sz w:val="22"/>
          <w:lang w:val="fr-FR"/>
        </w:rPr>
      </w:pPr>
      <w:r w:rsidRPr="00B04060">
        <w:rPr>
          <w:sz w:val="22"/>
          <w:lang w:val="fr-FR"/>
        </w:rPr>
        <w:t>GT7 : Les hommes et les femmes de la défense et de la sécurité nationale</w:t>
      </w:r>
    </w:p>
    <w:p w:rsidR="007D48CC" w:rsidRPr="00B04060" w:rsidRDefault="007D48CC" w:rsidP="007D48CC">
      <w:pPr>
        <w:ind w:left="352"/>
        <w:rPr>
          <w:sz w:val="22"/>
          <w:lang w:val="fr-FR"/>
        </w:rPr>
      </w:pPr>
      <w:r w:rsidRPr="00B04060">
        <w:rPr>
          <w:sz w:val="22"/>
          <w:lang w:val="fr-FR"/>
        </w:rPr>
        <w:t xml:space="preserve">Co-présidents : amiral (2S) Pierrick </w:t>
      </w:r>
      <w:proofErr w:type="spellStart"/>
      <w:r w:rsidRPr="00B04060">
        <w:rPr>
          <w:sz w:val="22"/>
          <w:lang w:val="fr-FR"/>
        </w:rPr>
        <w:t>Blairon</w:t>
      </w:r>
      <w:proofErr w:type="spellEnd"/>
      <w:r w:rsidRPr="00B04060">
        <w:rPr>
          <w:sz w:val="22"/>
          <w:lang w:val="fr-FR"/>
        </w:rPr>
        <w:t xml:space="preserve"> et préfet Hubert </w:t>
      </w:r>
      <w:proofErr w:type="spellStart"/>
      <w:r w:rsidRPr="00B04060">
        <w:rPr>
          <w:sz w:val="22"/>
          <w:lang w:val="fr-FR"/>
        </w:rPr>
        <w:t>Derache</w:t>
      </w:r>
      <w:proofErr w:type="spellEnd"/>
    </w:p>
    <w:p w:rsidR="007D48CC" w:rsidRPr="00B04060" w:rsidRDefault="007D48CC" w:rsidP="007D48CC">
      <w:pPr>
        <w:ind w:left="352"/>
        <w:rPr>
          <w:sz w:val="22"/>
          <w:lang w:val="fr-FR"/>
        </w:rPr>
      </w:pPr>
      <w:r w:rsidRPr="00B04060">
        <w:rPr>
          <w:sz w:val="22"/>
          <w:lang w:val="fr-FR"/>
        </w:rPr>
        <w:t xml:space="preserve">Rapporteurs : colonel Christophe Combi et monsieur Jérôme </w:t>
      </w:r>
      <w:proofErr w:type="spellStart"/>
      <w:r w:rsidRPr="00B04060">
        <w:rPr>
          <w:sz w:val="22"/>
          <w:lang w:val="fr-FR"/>
        </w:rPr>
        <w:t>Baudesson</w:t>
      </w:r>
      <w:proofErr w:type="spellEnd"/>
    </w:p>
    <w:p w:rsidR="007D48CC" w:rsidRPr="00B04060" w:rsidRDefault="007D48CC" w:rsidP="007D48CC">
      <w:pPr>
        <w:ind w:left="352"/>
        <w:rPr>
          <w:sz w:val="22"/>
          <w:lang w:val="fr-FR"/>
        </w:rPr>
      </w:pPr>
    </w:p>
    <w:p w:rsidR="007B73A4" w:rsidRDefault="007B73A4">
      <w:pPr>
        <w:rPr>
          <w:sz w:val="24"/>
          <w:szCs w:val="24"/>
          <w:lang w:val="fr-FR"/>
        </w:rPr>
      </w:pPr>
      <w:r>
        <w:rPr>
          <w:sz w:val="24"/>
          <w:szCs w:val="24"/>
          <w:lang w:val="fr-FR"/>
        </w:rPr>
        <w:br w:type="page"/>
      </w:r>
    </w:p>
    <w:p w:rsidR="004C7F8F" w:rsidRPr="007D48CC" w:rsidRDefault="00603254" w:rsidP="004C7F8F">
      <w:pPr>
        <w:spacing w:after="240"/>
        <w:jc w:val="both"/>
        <w:rPr>
          <w:sz w:val="24"/>
          <w:szCs w:val="24"/>
          <w:lang w:val="fr-FR"/>
        </w:rPr>
      </w:pPr>
      <w:r w:rsidRPr="00603254">
        <w:rPr>
          <w:noProof/>
          <w:sz w:val="24"/>
          <w:szCs w:val="24"/>
        </w:rPr>
        <w:lastRenderedPageBreak/>
        <w:pict>
          <v:shape id="Text Box 5506" o:spid="_x0000_s1036" type="#_x0000_t202" style="position:absolute;left:0;text-align:left;margin-left:66.15pt;margin-top:607.9pt;width:352.1pt;height:42.65pt;z-index:2518210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" stroked="f">
            <v:fill opacity="0"/>
            <v:textbox inset="0,0,0,0">
              <w:txbxContent>
                <w:p w:rsidR="00B4237A" w:rsidRDefault="00B4237A">
                  <w:pPr>
                    <w:tabs>
                      <w:tab w:val="left" w:pos="-1843"/>
                    </w:tabs>
                    <w:jc w:val="center"/>
                  </w:pPr>
                  <w:r>
                    <w:rPr>
                      <w:rFonts w:ascii="Calibri" w:hAnsi="Calibri" w:cs="Calibri"/>
                      <w:color w:val="1F497D"/>
                      <w:sz w:val="28"/>
                      <w:szCs w:val="28"/>
                    </w:rPr>
                    <w:t>www.khid.be</w:t>
                  </w:r>
                  <w:r>
                    <w:rPr>
                      <w:rFonts w:ascii="Calibri" w:hAnsi="Calibri" w:cs="Calibri"/>
                      <w:sz w:val="28"/>
                      <w:szCs w:val="28"/>
                    </w:rPr>
                    <w:t xml:space="preserve"> – </w:t>
                  </w:r>
                  <w:r>
                    <w:rPr>
                      <w:rFonts w:ascii="Calibri" w:hAnsi="Calibri" w:cs="Calibri"/>
                      <w:color w:val="1F497D"/>
                      <w:sz w:val="28"/>
                      <w:szCs w:val="28"/>
                    </w:rPr>
                    <w:t>www.irsd.be</w:t>
                  </w:r>
                  <w:r>
                    <w:rPr>
                      <w:rFonts w:ascii="Calibri" w:hAnsi="Calibri" w:cs="Calibri"/>
                      <w:sz w:val="28"/>
                      <w:szCs w:val="28"/>
                    </w:rPr>
                    <w:t xml:space="preserve"> – </w:t>
                  </w:r>
                  <w:r>
                    <w:rPr>
                      <w:rFonts w:ascii="Calibri" w:hAnsi="Calibri" w:cs="Calibri"/>
                      <w:color w:val="1F497D"/>
                      <w:sz w:val="28"/>
                      <w:szCs w:val="28"/>
                    </w:rPr>
                    <w:t>www.rhid.be</w:t>
                  </w:r>
                </w:p>
              </w:txbxContent>
            </v:textbox>
          </v:shape>
        </w:pict>
      </w:r>
      <w:r w:rsidR="007B73A4">
        <w:rPr>
          <w:noProof/>
          <w:sz w:val="24"/>
          <w:szCs w:val="24"/>
          <w:lang w:val="fr-BE" w:eastAsia="fr-BE"/>
        </w:rPr>
        <w:drawing>
          <wp:anchor distT="0" distB="0" distL="114300" distR="114300" simplePos="0" relativeHeight="251822080" behindDoc="0" locked="0" layoutInCell="1" allowOverlap="1">
            <wp:simplePos x="0" y="0"/>
            <wp:positionH relativeFrom="column">
              <wp:posOffset>1468120</wp:posOffset>
            </wp:positionH>
            <wp:positionV relativeFrom="paragraph">
              <wp:posOffset>654685</wp:posOffset>
            </wp:positionV>
            <wp:extent cx="3095625" cy="5038725"/>
            <wp:effectExtent l="0" t="0" r="0" b="0"/>
            <wp:wrapNone/>
            <wp:docPr id="5507" name="Picture 5507" descr="I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SD"/>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5038725"/>
                    </a:xfrm>
                    <a:prstGeom prst="rect">
                      <a:avLst/>
                    </a:prstGeom>
                    <a:noFill/>
                    <a:ln>
                      <a:noFill/>
                    </a:ln>
                  </pic:spPr>
                </pic:pic>
              </a:graphicData>
            </a:graphic>
          </wp:anchor>
        </w:drawing>
      </w:r>
    </w:p>
    <w:sectPr w:rsidR="004C7F8F" w:rsidRPr="007D48CC" w:rsidSect="007D612B">
      <w:pgSz w:w="11907" w:h="16840" w:code="9"/>
      <w:pgMar w:top="1418" w:right="850" w:bottom="1418" w:left="1418" w:header="709"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629" w:rsidRDefault="00ED7629">
      <w:r>
        <w:separator/>
      </w:r>
    </w:p>
  </w:endnote>
  <w:endnote w:type="continuationSeparator" w:id="0">
    <w:p w:rsidR="00ED7629" w:rsidRDefault="00ED76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fornian FB">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Eras Light ITC">
    <w:altName w:val="Lucida Sans Unicode"/>
    <w:charset w:val="00"/>
    <w:family w:val="swiss"/>
    <w:pitch w:val="variable"/>
    <w:sig w:usb0="00000003" w:usb1="00000000" w:usb2="00000000" w:usb3="00000000" w:csb0="00000001" w:csb1="00000000"/>
  </w:font>
  <w:font w:name="Bodoni MT">
    <w:altName w:val="Nyala"/>
    <w:charset w:val="00"/>
    <w:family w:val="roman"/>
    <w:pitch w:val="variable"/>
    <w:sig w:usb0="00000003" w:usb1="00000000" w:usb2="00000000" w:usb3="00000000" w:csb0="00000001" w:csb1="00000000"/>
  </w:font>
  <w:font w:name="Century Schoolbook">
    <w:altName w:val="Century"/>
    <w:charset w:val="00"/>
    <w:family w:val="roman"/>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37A" w:rsidRDefault="00603254" w:rsidP="00183CA8">
    <w:pPr>
      <w:pStyle w:val="Pieddepage"/>
      <w:framePr w:wrap="around" w:vAnchor="text" w:hAnchor="margin" w:xAlign="outside" w:y="1"/>
      <w:rPr>
        <w:rStyle w:val="Numrodepage"/>
      </w:rPr>
    </w:pPr>
    <w:r>
      <w:rPr>
        <w:rStyle w:val="Numrodepage"/>
      </w:rPr>
      <w:fldChar w:fldCharType="begin"/>
    </w:r>
    <w:r w:rsidR="00B4237A">
      <w:rPr>
        <w:rStyle w:val="Numrodepage"/>
      </w:rPr>
      <w:instrText xml:space="preserve">PAGE  </w:instrText>
    </w:r>
    <w:r>
      <w:rPr>
        <w:rStyle w:val="Numrodepage"/>
      </w:rPr>
      <w:fldChar w:fldCharType="separate"/>
    </w:r>
    <w:r w:rsidR="00C46F2C">
      <w:rPr>
        <w:rStyle w:val="Numrodepage"/>
        <w:noProof/>
      </w:rPr>
      <w:t>10</w:t>
    </w:r>
    <w:r>
      <w:rPr>
        <w:rStyle w:val="Numrodepage"/>
      </w:rPr>
      <w:fldChar w:fldCharType="end"/>
    </w:r>
  </w:p>
  <w:p w:rsidR="00B4237A" w:rsidRDefault="00B4237A" w:rsidP="0023685B">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37A" w:rsidRDefault="00603254" w:rsidP="00183CA8">
    <w:pPr>
      <w:pStyle w:val="Pieddepage"/>
      <w:framePr w:wrap="around" w:vAnchor="text" w:hAnchor="margin" w:xAlign="outside" w:y="1"/>
      <w:rPr>
        <w:rStyle w:val="Numrodepage"/>
      </w:rPr>
    </w:pPr>
    <w:r>
      <w:rPr>
        <w:rStyle w:val="Numrodepage"/>
      </w:rPr>
      <w:fldChar w:fldCharType="begin"/>
    </w:r>
    <w:r w:rsidR="00B4237A">
      <w:rPr>
        <w:rStyle w:val="Numrodepage"/>
      </w:rPr>
      <w:instrText xml:space="preserve">PAGE  </w:instrText>
    </w:r>
    <w:r>
      <w:rPr>
        <w:rStyle w:val="Numrodepage"/>
      </w:rPr>
      <w:fldChar w:fldCharType="separate"/>
    </w:r>
    <w:r w:rsidR="00C46F2C">
      <w:rPr>
        <w:rStyle w:val="Numrodepage"/>
        <w:noProof/>
      </w:rPr>
      <w:t>39</w:t>
    </w:r>
    <w:r>
      <w:rPr>
        <w:rStyle w:val="Numrodepage"/>
      </w:rPr>
      <w:fldChar w:fldCharType="end"/>
    </w:r>
  </w:p>
  <w:p w:rsidR="00B4237A" w:rsidRDefault="00B4237A" w:rsidP="00F36B46">
    <w:pPr>
      <w:pStyle w:val="Pieddepag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629" w:rsidRDefault="00ED7629">
      <w:r>
        <w:separator/>
      </w:r>
    </w:p>
  </w:footnote>
  <w:footnote w:type="continuationSeparator" w:id="0">
    <w:p w:rsidR="00ED7629" w:rsidRDefault="00ED7629">
      <w:r>
        <w:continuationSeparator/>
      </w:r>
    </w:p>
  </w:footnote>
  <w:footnote w:type="continuationNotice" w:id="1">
    <w:p w:rsidR="00ED7629" w:rsidRDefault="00ED7629"/>
  </w:footnote>
  <w:footnote w:id="2">
    <w:p w:rsidR="00B4237A" w:rsidRPr="00360B46" w:rsidRDefault="00B4237A" w:rsidP="00B44D2F">
      <w:pPr>
        <w:jc w:val="both"/>
        <w:rPr>
          <w:lang w:val="fr-BE"/>
        </w:rPr>
      </w:pPr>
      <w:r>
        <w:rPr>
          <w:rStyle w:val="Caractresdenotedebasdepage"/>
        </w:rPr>
        <w:footnoteRef/>
      </w:r>
      <w:r w:rsidRPr="00B44D2F">
        <w:rPr>
          <w:lang w:val="fr-BE"/>
        </w:rPr>
        <w:t xml:space="preserve"> </w:t>
      </w:r>
      <w:r w:rsidRPr="00B44D2F">
        <w:rPr>
          <w:i/>
          <w:lang w:val="fr-BE"/>
        </w:rPr>
        <w:t>Livre blanc sur la défense nationale</w:t>
      </w:r>
      <w:r w:rsidRPr="00B44D2F">
        <w:rPr>
          <w:lang w:val="fr-BE"/>
        </w:rPr>
        <w:t>, tome 1 et tome 2, Paris-Armées, 1972 et 1973 </w:t>
      </w:r>
      <w:r w:rsidRPr="00B44D2F">
        <w:rPr>
          <w:i/>
          <w:lang w:val="fr-BE"/>
        </w:rPr>
        <w:t>; Livre blanc sur la défense 1994</w:t>
      </w:r>
      <w:r w:rsidRPr="00B44D2F">
        <w:rPr>
          <w:lang w:val="fr-BE"/>
        </w:rPr>
        <w:t>, « Collection des rapports officiels », La Documentation française, Paris, juin 1994 </w:t>
      </w:r>
      <w:r w:rsidRPr="00B44D2F">
        <w:rPr>
          <w:i/>
          <w:lang w:val="fr-BE"/>
        </w:rPr>
        <w:t xml:space="preserve">; Défense et sécurité nationale. </w:t>
      </w:r>
      <w:r w:rsidRPr="00A32CCC">
        <w:rPr>
          <w:i/>
          <w:lang w:val="fr-BE"/>
        </w:rPr>
        <w:t>Le Livre blanc</w:t>
      </w:r>
      <w:r w:rsidRPr="00A32CCC">
        <w:rPr>
          <w:lang w:val="fr-BE"/>
        </w:rPr>
        <w:t xml:space="preserve">, Odile Jacob/La Documentation française, Paris, juin 2008 ; Jean-Raphaël </w:t>
      </w:r>
      <w:proofErr w:type="spellStart"/>
      <w:r w:rsidRPr="00A32CCC">
        <w:rPr>
          <w:lang w:val="fr-BE"/>
        </w:rPr>
        <w:t>Alventosa</w:t>
      </w:r>
      <w:proofErr w:type="spellEnd"/>
      <w:r w:rsidRPr="00A32CCC">
        <w:rPr>
          <w:lang w:val="fr-BE"/>
        </w:rPr>
        <w:t xml:space="preserve">, « Livre blanc, planification, programmation », dans </w:t>
      </w:r>
      <w:r w:rsidRPr="00A32CCC">
        <w:rPr>
          <w:i/>
          <w:lang w:val="fr-BE"/>
        </w:rPr>
        <w:t>Défense nationale</w:t>
      </w:r>
      <w:r w:rsidRPr="00A32CCC">
        <w:rPr>
          <w:lang w:val="fr-BE"/>
        </w:rPr>
        <w:t xml:space="preserve">, numéro spécial, « Vers une défense nouvelle », Paris, 14 juillet 1996 ; JAC Lewis, « French White paper </w:t>
      </w:r>
      <w:proofErr w:type="spellStart"/>
      <w:r w:rsidRPr="00A32CCC">
        <w:rPr>
          <w:lang w:val="fr-BE"/>
        </w:rPr>
        <w:t>fails</w:t>
      </w:r>
      <w:proofErr w:type="spellEnd"/>
      <w:r w:rsidRPr="00A32CCC">
        <w:rPr>
          <w:lang w:val="fr-BE"/>
        </w:rPr>
        <w:t xml:space="preserve"> to </w:t>
      </w:r>
      <w:proofErr w:type="spellStart"/>
      <w:r w:rsidRPr="00A32CCC">
        <w:rPr>
          <w:lang w:val="fr-BE"/>
        </w:rPr>
        <w:t>address</w:t>
      </w:r>
      <w:proofErr w:type="spellEnd"/>
      <w:r w:rsidRPr="00A32CCC">
        <w:rPr>
          <w:lang w:val="fr-BE"/>
        </w:rPr>
        <w:t xml:space="preserve"> short-</w:t>
      </w:r>
      <w:proofErr w:type="spellStart"/>
      <w:r w:rsidRPr="00A32CCC">
        <w:rPr>
          <w:lang w:val="fr-BE"/>
        </w:rPr>
        <w:t>term</w:t>
      </w:r>
      <w:proofErr w:type="spellEnd"/>
      <w:r w:rsidRPr="00A32CCC">
        <w:rPr>
          <w:lang w:val="fr-BE"/>
        </w:rPr>
        <w:t xml:space="preserve"> </w:t>
      </w:r>
      <w:proofErr w:type="spellStart"/>
      <w:r w:rsidRPr="00A32CCC">
        <w:rPr>
          <w:lang w:val="fr-BE"/>
        </w:rPr>
        <w:t>needs</w:t>
      </w:r>
      <w:proofErr w:type="spellEnd"/>
      <w:r w:rsidRPr="00A32CCC">
        <w:rPr>
          <w:lang w:val="fr-BE"/>
        </w:rPr>
        <w:t xml:space="preserve"> », dans </w:t>
      </w:r>
      <w:proofErr w:type="spellStart"/>
      <w:r w:rsidRPr="00A32CCC">
        <w:rPr>
          <w:i/>
          <w:lang w:val="fr-BE"/>
        </w:rPr>
        <w:t>Jane’s</w:t>
      </w:r>
      <w:proofErr w:type="spellEnd"/>
      <w:r w:rsidRPr="00A32CCC">
        <w:rPr>
          <w:i/>
          <w:lang w:val="fr-BE"/>
        </w:rPr>
        <w:t xml:space="preserve"> </w:t>
      </w:r>
      <w:proofErr w:type="spellStart"/>
      <w:r w:rsidRPr="00A32CCC">
        <w:rPr>
          <w:i/>
          <w:lang w:val="fr-BE"/>
        </w:rPr>
        <w:t>Defence</w:t>
      </w:r>
      <w:proofErr w:type="spellEnd"/>
      <w:r w:rsidRPr="00A32CCC">
        <w:rPr>
          <w:i/>
          <w:lang w:val="fr-BE"/>
        </w:rPr>
        <w:t xml:space="preserve"> </w:t>
      </w:r>
      <w:proofErr w:type="spellStart"/>
      <w:r w:rsidRPr="00A32CCC">
        <w:rPr>
          <w:i/>
          <w:lang w:val="fr-BE"/>
        </w:rPr>
        <w:t>Weekly</w:t>
      </w:r>
      <w:proofErr w:type="spellEnd"/>
      <w:r w:rsidRPr="00A32CCC">
        <w:rPr>
          <w:lang w:val="fr-BE"/>
        </w:rPr>
        <w:t xml:space="preserve">, 12 March 1994, p. 15 ; Marc </w:t>
      </w:r>
      <w:proofErr w:type="spellStart"/>
      <w:r w:rsidRPr="00A32CCC">
        <w:rPr>
          <w:lang w:val="fr-BE"/>
        </w:rPr>
        <w:t>Théleri</w:t>
      </w:r>
      <w:proofErr w:type="spellEnd"/>
      <w:r w:rsidRPr="00A32CCC">
        <w:rPr>
          <w:lang w:val="fr-BE"/>
        </w:rPr>
        <w:t xml:space="preserve">, « Du rapport d’étape au Livre blanc », dans </w:t>
      </w:r>
      <w:r w:rsidRPr="00A32CCC">
        <w:rPr>
          <w:i/>
          <w:lang w:val="fr-BE"/>
        </w:rPr>
        <w:t>Air fan</w:t>
      </w:r>
      <w:r w:rsidRPr="00A32CCC">
        <w:rPr>
          <w:lang w:val="fr-BE"/>
        </w:rPr>
        <w:t xml:space="preserve">, Paris, novembre 1993, pp. 12-13 ; Actes du colloque organisé par l’IRIS, « Contribution au Livre blanc sur la défense », dans </w:t>
      </w:r>
      <w:r w:rsidRPr="00A32CCC">
        <w:rPr>
          <w:i/>
          <w:lang w:val="fr-BE"/>
        </w:rPr>
        <w:t>Relations internationales et stratégiques</w:t>
      </w:r>
      <w:r w:rsidRPr="00A32CCC">
        <w:rPr>
          <w:lang w:val="fr-BE"/>
        </w:rPr>
        <w:t>, n°12, Paris, hiver 1993.</w:t>
      </w:r>
    </w:p>
  </w:footnote>
  <w:footnote w:id="3">
    <w:p w:rsidR="00B4237A" w:rsidRPr="00360B46" w:rsidRDefault="00B4237A" w:rsidP="00B44D2F">
      <w:pPr>
        <w:jc w:val="both"/>
        <w:rPr>
          <w:lang w:val="fr-BE"/>
        </w:rPr>
      </w:pPr>
      <w:r>
        <w:rPr>
          <w:rStyle w:val="Caractresdenotedebasdepage"/>
        </w:rPr>
        <w:footnoteRef/>
      </w:r>
      <w:r w:rsidRPr="00B44D2F">
        <w:rPr>
          <w:lang w:val="fr-BE"/>
        </w:rPr>
        <w:t xml:space="preserve"> Pour une synthèse des différents Livres blancs antérieurs à celui de 2013, </w:t>
      </w:r>
      <w:r w:rsidRPr="00B44D2F">
        <w:rPr>
          <w:i/>
          <w:lang w:val="fr-BE"/>
        </w:rPr>
        <w:t>cf</w:t>
      </w:r>
      <w:r w:rsidRPr="00B44D2F">
        <w:rPr>
          <w:lang w:val="fr-BE"/>
        </w:rPr>
        <w:t xml:space="preserve">. </w:t>
      </w:r>
      <w:r w:rsidRPr="00A32CCC">
        <w:rPr>
          <w:lang w:val="fr-BE"/>
        </w:rPr>
        <w:t xml:space="preserve">« La politique de défense après le Livre blanc de 2008 », dans </w:t>
      </w:r>
      <w:hyperlink r:id="rId1" w:history="1">
        <w:r w:rsidRPr="00A32CCC">
          <w:rPr>
            <w:rStyle w:val="Lienhypertexte"/>
            <w:lang w:val="fr-BE"/>
          </w:rPr>
          <w:t>www.vie-publique.fr</w:t>
        </w:r>
      </w:hyperlink>
      <w:r w:rsidRPr="00A32CCC">
        <w:rPr>
          <w:lang w:val="fr-BE"/>
        </w:rPr>
        <w:t>, 29 septembre 2011.</w:t>
      </w:r>
    </w:p>
  </w:footnote>
  <w:footnote w:id="4">
    <w:p w:rsidR="00B4237A" w:rsidRPr="00B44D2F" w:rsidRDefault="00B4237A" w:rsidP="00B44D2F">
      <w:pPr>
        <w:jc w:val="both"/>
        <w:rPr>
          <w:lang w:val="fr-BE"/>
        </w:rPr>
      </w:pPr>
      <w:r>
        <w:rPr>
          <w:rStyle w:val="Caractresdenotedebasdepage"/>
        </w:rPr>
        <w:footnoteRef/>
      </w:r>
      <w:r w:rsidRPr="00B44D2F">
        <w:rPr>
          <w:lang w:val="fr-BE"/>
        </w:rPr>
        <w:t xml:space="preserve"> Le SGDN doit conduire, « dès à présent, avec les administrations concernées et en faisant appel à des experts français et étrangers, une réflexion interministérielle sur l’évolution du contexte stratégique depuis 2008 ». </w:t>
      </w:r>
      <w:hyperlink r:id="rId2" w:history="1">
        <w:r w:rsidRPr="00B44D2F">
          <w:rPr>
            <w:rStyle w:val="Lienhypertexte"/>
            <w:lang w:val="fr-BE"/>
          </w:rPr>
          <w:t>http://www.sgdn.gouv.fr/site_article115.html</w:t>
        </w:r>
      </w:hyperlink>
      <w:r w:rsidRPr="00B44D2F">
        <w:rPr>
          <w:lang w:val="fr-BE"/>
        </w:rPr>
        <w:t xml:space="preserve">, 6 décembre 2011. </w:t>
      </w:r>
    </w:p>
  </w:footnote>
  <w:footnote w:id="5">
    <w:p w:rsidR="00B4237A" w:rsidRPr="00360B46" w:rsidRDefault="00B4237A" w:rsidP="00B44D2F">
      <w:pPr>
        <w:jc w:val="both"/>
        <w:rPr>
          <w:lang w:val="fr-BE"/>
        </w:rPr>
      </w:pPr>
      <w:r>
        <w:rPr>
          <w:rStyle w:val="Caractresdenotedebasdepage"/>
        </w:rPr>
        <w:footnoteRef/>
      </w:r>
      <w:r w:rsidRPr="00B44D2F">
        <w:rPr>
          <w:lang w:val="fr-BE"/>
        </w:rPr>
        <w:t xml:space="preserve"> Définition</w:t>
      </w:r>
      <w:r w:rsidRPr="00B44D2F">
        <w:rPr>
          <w:rFonts w:eastAsia="Calibri"/>
          <w:lang w:val="fr-BE"/>
        </w:rPr>
        <w:t xml:space="preserve"> de François Géré, </w:t>
      </w:r>
      <w:r w:rsidRPr="00B44D2F">
        <w:rPr>
          <w:rFonts w:eastAsia="Calibri"/>
          <w:i/>
          <w:iCs/>
          <w:lang w:val="fr-BE"/>
        </w:rPr>
        <w:t>Dictionnaire de la pensée stratégique</w:t>
      </w:r>
      <w:r w:rsidRPr="00B44D2F">
        <w:rPr>
          <w:rFonts w:eastAsia="Calibri"/>
          <w:lang w:val="fr-BE"/>
        </w:rPr>
        <w:t>, Larousse, Paris, 2000, p. 159</w:t>
      </w:r>
      <w:r w:rsidRPr="00B44D2F">
        <w:rPr>
          <w:lang w:val="fr-BE"/>
        </w:rPr>
        <w:t>.</w:t>
      </w:r>
    </w:p>
  </w:footnote>
  <w:footnote w:id="6">
    <w:p w:rsidR="00B4237A" w:rsidRPr="00B44D2F" w:rsidRDefault="00B4237A" w:rsidP="00B44D2F">
      <w:pPr>
        <w:rPr>
          <w:lang w:val="fr-BE"/>
        </w:rPr>
      </w:pPr>
      <w:r>
        <w:rPr>
          <w:rStyle w:val="Caractresdenotedebasdepage"/>
        </w:rPr>
        <w:footnoteRef/>
      </w:r>
      <w:r w:rsidRPr="00B44D2F">
        <w:rPr>
          <w:lang w:val="fr-BE"/>
        </w:rPr>
        <w:t xml:space="preserve"> http://www.defense.gouv.fr/portail-defense/enjeux2/politique-de-defense/livre-blanc-2008.</w:t>
      </w:r>
    </w:p>
    <w:p w:rsidR="00B4237A" w:rsidRPr="00B44D2F" w:rsidRDefault="00B4237A" w:rsidP="00B44D2F">
      <w:pPr>
        <w:pStyle w:val="Notedebasdepage"/>
        <w:pageBreakBefore/>
        <w:rPr>
          <w:lang w:val="fr-CA"/>
        </w:rPr>
      </w:pPr>
    </w:p>
  </w:footnote>
  <w:footnote w:id="7">
    <w:p w:rsidR="00B4237A" w:rsidRPr="00B44D2F" w:rsidRDefault="00B4237A" w:rsidP="00B44D2F">
      <w:pPr>
        <w:jc w:val="both"/>
        <w:rPr>
          <w:lang w:val="fr-BE"/>
        </w:rPr>
      </w:pPr>
      <w:r>
        <w:rPr>
          <w:rStyle w:val="Caractresdenotedebasdepage"/>
        </w:rPr>
        <w:footnoteRef/>
      </w:r>
      <w:r w:rsidRPr="00B44D2F">
        <w:rPr>
          <w:lang w:val="fr-BE"/>
        </w:rPr>
        <w:t xml:space="preserve"> Grégory Daho, « Les effets de l’objectivation des discours sur le </w:t>
      </w:r>
      <w:r>
        <w:rPr>
          <w:i/>
          <w:iCs/>
          <w:lang w:val="fr-BE"/>
        </w:rPr>
        <w:t>“</w:t>
      </w:r>
      <w:r w:rsidRPr="00B44D2F">
        <w:rPr>
          <w:lang w:val="fr-BE"/>
        </w:rPr>
        <w:t>désordre international</w:t>
      </w:r>
      <w:r>
        <w:rPr>
          <w:i/>
          <w:iCs/>
          <w:lang w:val="fr-BE"/>
        </w:rPr>
        <w:t>”</w:t>
      </w:r>
      <w:r w:rsidRPr="00B44D2F">
        <w:rPr>
          <w:lang w:val="fr-BE"/>
        </w:rPr>
        <w:t xml:space="preserve"> sur les transformations du champ de la défense en France », intervention, Congrès de l’Association française de science politique, Strasbourg, 2011.</w:t>
      </w:r>
    </w:p>
  </w:footnote>
  <w:footnote w:id="8">
    <w:p w:rsidR="00B4237A" w:rsidRPr="00B44D2F" w:rsidRDefault="00B4237A" w:rsidP="00B44D2F">
      <w:pPr>
        <w:jc w:val="both"/>
        <w:rPr>
          <w:lang w:val="fr-BE"/>
        </w:rPr>
      </w:pPr>
      <w:r>
        <w:rPr>
          <w:rStyle w:val="Caractresdenotedebasdepage"/>
        </w:rPr>
        <w:footnoteRef/>
      </w:r>
      <w:r w:rsidRPr="00B44D2F">
        <w:rPr>
          <w:lang w:val="fr-BE"/>
        </w:rPr>
        <w:t xml:space="preserve"> Le projet de loi de programmation militaire (LPM) sur six ans (2014-2019) a été présenté par le ministre de la Défense, Jean-Yves Le Drian, au Conseil des ministres le 2 août 2013, avant une première lecture au Sénat en octobre et un vote prévu avant la fin de l’année. Relevons qu’un numéro spécial de la </w:t>
      </w:r>
      <w:r w:rsidRPr="00B44D2F">
        <w:rPr>
          <w:i/>
          <w:lang w:val="fr-BE"/>
        </w:rPr>
        <w:t>Revue de Défense nationale</w:t>
      </w:r>
      <w:r w:rsidRPr="00B44D2F">
        <w:rPr>
          <w:lang w:val="fr-BE"/>
        </w:rPr>
        <w:t xml:space="preserve"> sur le Livre blanc et la loi de programmation militaire paraîtra en novembre 2013.</w:t>
      </w:r>
    </w:p>
  </w:footnote>
  <w:footnote w:id="9">
    <w:p w:rsidR="00B4237A" w:rsidRPr="00B44D2F" w:rsidRDefault="00B4237A" w:rsidP="00B44D2F">
      <w:pPr>
        <w:jc w:val="both"/>
        <w:rPr>
          <w:lang w:val="fr-BE"/>
        </w:rPr>
      </w:pPr>
      <w:r>
        <w:rPr>
          <w:rStyle w:val="Caractresdenotedebasdepage"/>
        </w:rPr>
        <w:footnoteRef/>
      </w:r>
      <w:r w:rsidRPr="00B44D2F">
        <w:rPr>
          <w:lang w:val="fr-BE"/>
        </w:rPr>
        <w:t xml:space="preserve"> « Une capacité militaire, c’est la combinaison d’un équipement, d’un savoir-faire et du personnel qui le met en œuvre » (amiral Guillaud, audition, Assemblée nationale, Paris, 11 juillet 2012).</w:t>
      </w:r>
    </w:p>
  </w:footnote>
  <w:footnote w:id="10">
    <w:p w:rsidR="00B4237A" w:rsidRPr="00B44D2F" w:rsidRDefault="00B4237A" w:rsidP="00835B65">
      <w:pPr>
        <w:jc w:val="both"/>
        <w:rPr>
          <w:lang w:val="fr-BE"/>
        </w:rPr>
      </w:pPr>
      <w:r>
        <w:rPr>
          <w:rStyle w:val="Caractresdenotedebasdepage"/>
        </w:rPr>
        <w:footnoteRef/>
      </w:r>
      <w:r w:rsidRPr="00B44D2F">
        <w:rPr>
          <w:lang w:val="fr-BE"/>
        </w:rPr>
        <w:t xml:space="preserve"> Intervention d’Alain Richard, Débat, « Vers une Europe de la Défense ? </w:t>
      </w:r>
      <w:r w:rsidRPr="00A32CCC">
        <w:rPr>
          <w:lang w:val="fr-BE"/>
        </w:rPr>
        <w:t>De la sécurité collective à la défense commune : l’exemple des politiques industrielles d’armement », Ateliers de la Citadelle, Lille, 7 juin 2013.</w:t>
      </w:r>
    </w:p>
  </w:footnote>
  <w:footnote w:id="11">
    <w:p w:rsidR="00B4237A" w:rsidRPr="00B00A29" w:rsidRDefault="00B4237A" w:rsidP="00815FF4">
      <w:pPr>
        <w:jc w:val="both"/>
        <w:rPr>
          <w:lang w:val="fr-BE"/>
        </w:rPr>
      </w:pPr>
      <w:r>
        <w:rPr>
          <w:rStyle w:val="Caractresdenotedebasdepage"/>
        </w:rPr>
        <w:footnoteRef/>
      </w:r>
      <w:r w:rsidRPr="00B00A29">
        <w:rPr>
          <w:lang w:val="fr-BE"/>
        </w:rPr>
        <w:t xml:space="preserve"> Joseph Henrotin, « De la durabilité de la puissance militaire française », dans </w:t>
      </w:r>
      <w:r w:rsidRPr="00B00A29">
        <w:rPr>
          <w:i/>
          <w:lang w:val="fr-BE"/>
        </w:rPr>
        <w:t>DSI</w:t>
      </w:r>
      <w:r w:rsidRPr="00B00A29">
        <w:rPr>
          <w:lang w:val="fr-BE"/>
        </w:rPr>
        <w:t>, hors série n°31, « La France et sa défense. L’après-Livre blanc », Areion, Paris, août-septembre 2013, p. 9.</w:t>
      </w:r>
    </w:p>
    <w:p w:rsidR="00B4237A" w:rsidRPr="00B00A29" w:rsidRDefault="00B4237A" w:rsidP="00B44D2F">
      <w:pPr>
        <w:pStyle w:val="Notedebasdepage"/>
        <w:pageBreakBefore/>
        <w:rPr>
          <w:lang w:val="fr-BE"/>
        </w:rPr>
      </w:pPr>
    </w:p>
  </w:footnote>
  <w:footnote w:id="12">
    <w:p w:rsidR="00B4237A" w:rsidRPr="00DA259E" w:rsidRDefault="00B4237A" w:rsidP="00DA259E">
      <w:pPr>
        <w:jc w:val="both"/>
        <w:rPr>
          <w:lang w:val="fr-BE"/>
        </w:rPr>
      </w:pPr>
      <w:r>
        <w:rPr>
          <w:rStyle w:val="Caractresdenotedebasdepage"/>
        </w:rPr>
        <w:footnoteRef/>
      </w:r>
      <w:r w:rsidRPr="00DA259E">
        <w:rPr>
          <w:lang w:val="fr-BE"/>
        </w:rPr>
        <w:t xml:space="preserve"> </w:t>
      </w:r>
      <w:r w:rsidRPr="00DA259E">
        <w:rPr>
          <w:i/>
          <w:lang w:val="fr-BE"/>
        </w:rPr>
        <w:t>Cf</w:t>
      </w:r>
      <w:r w:rsidRPr="00DA259E">
        <w:rPr>
          <w:lang w:val="fr-BE"/>
        </w:rPr>
        <w:t xml:space="preserve">. Frédéric Bozo, </w:t>
      </w:r>
      <w:r w:rsidRPr="00DA259E">
        <w:rPr>
          <w:i/>
          <w:lang w:val="fr-BE"/>
        </w:rPr>
        <w:t>Alliance atlantique : la fin de l’exception française ?</w:t>
      </w:r>
      <w:r w:rsidRPr="00DA259E">
        <w:rPr>
          <w:lang w:val="fr-BE"/>
        </w:rPr>
        <w:t>, Document de travail, Fondation pour l’innovation politique, Paris, 2008 ; André Dumoulin (</w:t>
      </w:r>
      <w:proofErr w:type="spellStart"/>
      <w:r w:rsidRPr="00DA259E">
        <w:rPr>
          <w:lang w:val="fr-BE"/>
        </w:rPr>
        <w:t>dir</w:t>
      </w:r>
      <w:proofErr w:type="spellEnd"/>
      <w:r w:rsidRPr="00DA259E">
        <w:rPr>
          <w:lang w:val="fr-BE"/>
        </w:rPr>
        <w:t xml:space="preserve">.), </w:t>
      </w:r>
      <w:r w:rsidRPr="00DA259E">
        <w:rPr>
          <w:i/>
          <w:lang w:val="fr-BE"/>
        </w:rPr>
        <w:t>France-OTAN : vers un rapprochement doctrinal ?</w:t>
      </w:r>
      <w:r w:rsidRPr="00DA259E">
        <w:rPr>
          <w:lang w:val="fr-BE"/>
        </w:rPr>
        <w:t xml:space="preserve">, Bruylant, Bruxelles, 2006 ; Tomas </w:t>
      </w:r>
      <w:proofErr w:type="spellStart"/>
      <w:r w:rsidRPr="00DA259E">
        <w:rPr>
          <w:lang w:val="fr-BE"/>
        </w:rPr>
        <w:t>Valasek</w:t>
      </w:r>
      <w:proofErr w:type="spellEnd"/>
      <w:r w:rsidRPr="00DA259E">
        <w:rPr>
          <w:lang w:val="fr-BE"/>
        </w:rPr>
        <w:t xml:space="preserve">, </w:t>
      </w:r>
      <w:r w:rsidRPr="00DA259E">
        <w:rPr>
          <w:i/>
          <w:lang w:val="fr-BE"/>
        </w:rPr>
        <w:t xml:space="preserve">France, NATO and European </w:t>
      </w:r>
      <w:proofErr w:type="spellStart"/>
      <w:r w:rsidRPr="00DA259E">
        <w:rPr>
          <w:i/>
          <w:lang w:val="fr-BE"/>
        </w:rPr>
        <w:t>Defence</w:t>
      </w:r>
      <w:proofErr w:type="spellEnd"/>
      <w:r w:rsidRPr="00DA259E">
        <w:rPr>
          <w:lang w:val="fr-BE"/>
        </w:rPr>
        <w:t xml:space="preserve">, Policy </w:t>
      </w:r>
      <w:proofErr w:type="spellStart"/>
      <w:r w:rsidRPr="00DA259E">
        <w:rPr>
          <w:lang w:val="fr-BE"/>
        </w:rPr>
        <w:t>Brief</w:t>
      </w:r>
      <w:proofErr w:type="spellEnd"/>
      <w:r w:rsidRPr="00DA259E">
        <w:rPr>
          <w:lang w:val="fr-BE"/>
        </w:rPr>
        <w:t xml:space="preserve">, Centre for European </w:t>
      </w:r>
      <w:proofErr w:type="spellStart"/>
      <w:r w:rsidRPr="00DA259E">
        <w:rPr>
          <w:lang w:val="fr-BE"/>
        </w:rPr>
        <w:t>Reform</w:t>
      </w:r>
      <w:proofErr w:type="spellEnd"/>
      <w:r w:rsidRPr="00DA259E">
        <w:rPr>
          <w:lang w:val="fr-BE"/>
        </w:rPr>
        <w:t xml:space="preserve">, London, 2008 ; Justin </w:t>
      </w:r>
      <w:proofErr w:type="spellStart"/>
      <w:r w:rsidRPr="00DA259E">
        <w:rPr>
          <w:lang w:val="fr-BE"/>
        </w:rPr>
        <w:t>Vaïsse</w:t>
      </w:r>
      <w:proofErr w:type="spellEnd"/>
      <w:r w:rsidRPr="00DA259E">
        <w:rPr>
          <w:lang w:val="fr-BE"/>
        </w:rPr>
        <w:t>, « Les relations franco-américaines après l’élection de François Hollande », Policy Paper n°241, Fondation Robert Schuman, Paris, 21 mai 2012.</w:t>
      </w:r>
    </w:p>
  </w:footnote>
  <w:footnote w:id="13">
    <w:p w:rsidR="00B4237A" w:rsidRPr="00DA259E" w:rsidRDefault="00B4237A" w:rsidP="00DA259E">
      <w:pPr>
        <w:jc w:val="both"/>
        <w:rPr>
          <w:lang w:val="fr-BE"/>
        </w:rPr>
      </w:pPr>
      <w:r>
        <w:rPr>
          <w:rStyle w:val="Caractresdenotedebasdepage"/>
        </w:rPr>
        <w:footnoteRef/>
      </w:r>
      <w:r w:rsidRPr="00DA259E">
        <w:rPr>
          <w:lang w:val="fr-BE"/>
        </w:rPr>
        <w:t xml:space="preserve"> </w:t>
      </w:r>
      <w:r w:rsidRPr="00DA259E">
        <w:rPr>
          <w:i/>
          <w:lang w:val="fr-BE"/>
        </w:rPr>
        <w:t>New York Times</w:t>
      </w:r>
      <w:r w:rsidRPr="00DA259E">
        <w:rPr>
          <w:lang w:val="fr-BE"/>
        </w:rPr>
        <w:t>, 24 septembre 2007.</w:t>
      </w:r>
    </w:p>
  </w:footnote>
  <w:footnote w:id="14">
    <w:p w:rsidR="00B4237A" w:rsidRPr="00DA259E" w:rsidRDefault="00B4237A" w:rsidP="00DA259E">
      <w:pPr>
        <w:jc w:val="both"/>
        <w:rPr>
          <w:lang w:val="fr-BE"/>
        </w:rPr>
      </w:pPr>
      <w:r>
        <w:rPr>
          <w:rStyle w:val="Caractresdenotedebasdepage"/>
        </w:rPr>
        <w:footnoteRef/>
      </w:r>
      <w:r w:rsidRPr="00DA259E">
        <w:rPr>
          <w:rFonts w:eastAsia="Calibri"/>
          <w:lang w:val="fr-BE"/>
        </w:rPr>
        <w:t xml:space="preserve"> Une défense française permet à la France de jouer un rôle d’entraînement dans la construction de l’Europe (</w:t>
      </w:r>
      <w:r w:rsidRPr="00DA259E">
        <w:rPr>
          <w:rFonts w:eastAsia="Calibri"/>
          <w:i/>
          <w:lang w:val="fr-BE"/>
        </w:rPr>
        <w:t>cf</w:t>
      </w:r>
      <w:r w:rsidRPr="00DA259E">
        <w:rPr>
          <w:rFonts w:eastAsia="Calibri"/>
          <w:lang w:val="fr-BE"/>
        </w:rPr>
        <w:t xml:space="preserve">. Michèle Alliot-Marie, </w:t>
      </w:r>
      <w:r w:rsidRPr="00DA259E">
        <w:rPr>
          <w:rFonts w:eastAsia="Calibri"/>
          <w:i/>
          <w:lang w:val="fr-BE"/>
        </w:rPr>
        <w:t>La Croix</w:t>
      </w:r>
      <w:r w:rsidRPr="00DA259E">
        <w:rPr>
          <w:rFonts w:eastAsia="Calibri"/>
          <w:lang w:val="fr-BE"/>
        </w:rPr>
        <w:t>, 11 juillet 2003).</w:t>
      </w:r>
    </w:p>
  </w:footnote>
  <w:footnote w:id="15">
    <w:p w:rsidR="00B4237A" w:rsidRPr="00DA259E" w:rsidRDefault="00B4237A" w:rsidP="00DA259E">
      <w:pPr>
        <w:jc w:val="both"/>
        <w:rPr>
          <w:lang w:val="fr-BE"/>
        </w:rPr>
      </w:pPr>
      <w:r>
        <w:rPr>
          <w:rStyle w:val="Caractresdenotedebasdepage"/>
        </w:rPr>
        <w:footnoteRef/>
      </w:r>
      <w:r w:rsidRPr="00DA259E">
        <w:rPr>
          <w:rFonts w:eastAsia="Calibri"/>
          <w:lang w:val="fr-BE"/>
        </w:rPr>
        <w:t xml:space="preserve"> </w:t>
      </w:r>
      <w:r w:rsidRPr="00DA259E">
        <w:rPr>
          <w:rFonts w:eastAsia="Calibri"/>
          <w:i/>
          <w:lang w:val="fr-BE"/>
        </w:rPr>
        <w:t>Cf</w:t>
      </w:r>
      <w:r w:rsidRPr="00DA259E">
        <w:rPr>
          <w:rFonts w:eastAsia="Calibri"/>
          <w:lang w:val="fr-BE"/>
        </w:rPr>
        <w:t>. la déclaration commune du sommet franco-britannique, Londres, 27 mars 2008.</w:t>
      </w:r>
    </w:p>
  </w:footnote>
  <w:footnote w:id="16">
    <w:p w:rsidR="00B4237A" w:rsidRPr="00DA259E" w:rsidRDefault="00B4237A" w:rsidP="00DA259E">
      <w:pPr>
        <w:jc w:val="both"/>
        <w:rPr>
          <w:lang w:val="fr-BE"/>
        </w:rPr>
      </w:pPr>
      <w:r>
        <w:rPr>
          <w:rStyle w:val="Caractresdenotedebasdepage"/>
        </w:rPr>
        <w:footnoteRef/>
      </w:r>
      <w:r w:rsidRPr="00DA259E">
        <w:rPr>
          <w:lang w:val="fr-BE"/>
        </w:rPr>
        <w:t xml:space="preserve"> Dans les années 1990, les tensions franco-américaines aboutirent à des querelles institutionnelles, « théologiques », entre les deux grands alliés (et leurs « satellites ») autour du thème de l’européanisation de la sécurité-défense (</w:t>
      </w:r>
      <w:r w:rsidRPr="00DA259E">
        <w:rPr>
          <w:rFonts w:eastAsia="Calibri"/>
          <w:i/>
          <w:lang w:val="fr-BE"/>
        </w:rPr>
        <w:t>Cf</w:t>
      </w:r>
      <w:r w:rsidRPr="00DA259E">
        <w:rPr>
          <w:rFonts w:eastAsia="Calibri"/>
          <w:lang w:val="fr-BE"/>
        </w:rPr>
        <w:t>. André Dumoulin, « Questions autour de l’OTAN », session IHEDN, Besançon, 16 mars 2006</w:t>
      </w:r>
      <w:r w:rsidRPr="00DA259E">
        <w:rPr>
          <w:lang w:val="fr-BE"/>
        </w:rPr>
        <w:t xml:space="preserve"> ; André Dumoulin, « UEO-OTAN : complémentarité, subsidiarité ou rivalité ? », dans </w:t>
      </w:r>
      <w:r w:rsidRPr="00DA259E">
        <w:rPr>
          <w:i/>
          <w:lang w:val="fr-BE"/>
        </w:rPr>
        <w:t>Relations internationales et stratégiques</w:t>
      </w:r>
      <w:r w:rsidRPr="00DA259E">
        <w:rPr>
          <w:lang w:val="fr-BE"/>
        </w:rPr>
        <w:t>, n°18, IRIS, Paris, été 1995).</w:t>
      </w:r>
    </w:p>
  </w:footnote>
  <w:footnote w:id="17">
    <w:p w:rsidR="00B4237A" w:rsidRPr="00DA259E" w:rsidRDefault="00B4237A" w:rsidP="00DA259E">
      <w:pPr>
        <w:jc w:val="both"/>
        <w:rPr>
          <w:lang w:val="fr-BE"/>
        </w:rPr>
      </w:pPr>
      <w:r>
        <w:rPr>
          <w:rStyle w:val="Caractresdenotedebasdepage"/>
        </w:rPr>
        <w:footnoteRef/>
      </w:r>
      <w:r w:rsidRPr="00DA259E">
        <w:rPr>
          <w:lang w:val="fr-BE"/>
        </w:rPr>
        <w:t xml:space="preserve"> Extrait du discours du </w:t>
      </w:r>
      <w:r>
        <w:rPr>
          <w:lang w:val="fr-FR"/>
        </w:rPr>
        <w:t>président français, Nicolas Sarkozy, devant le Congrès américain, Washington, 7 novembre 2007.</w:t>
      </w:r>
    </w:p>
  </w:footnote>
  <w:footnote w:id="18">
    <w:p w:rsidR="00B4237A" w:rsidRPr="00DA259E" w:rsidRDefault="00B4237A" w:rsidP="007F7F52">
      <w:pPr>
        <w:jc w:val="both"/>
        <w:rPr>
          <w:lang w:val="fr-BE"/>
        </w:rPr>
      </w:pPr>
      <w:r>
        <w:rPr>
          <w:rStyle w:val="Caractresdenotedebasdepage"/>
        </w:rPr>
        <w:footnoteRef/>
      </w:r>
      <w:r w:rsidRPr="00DA259E">
        <w:rPr>
          <w:rFonts w:eastAsia="Calibri"/>
          <w:lang w:val="fr-BE"/>
        </w:rPr>
        <w:t xml:space="preserve"> Elles furent encore reprises par François Fillon, </w:t>
      </w:r>
      <w:r w:rsidRPr="00DA259E">
        <w:rPr>
          <w:lang w:val="fr-BE"/>
        </w:rPr>
        <w:t xml:space="preserve">alors Premier ministre UMP, </w:t>
      </w:r>
      <w:r w:rsidRPr="00DA259E">
        <w:rPr>
          <w:rFonts w:eastAsia="Calibri"/>
          <w:lang w:val="fr-BE"/>
        </w:rPr>
        <w:t>lors du débat sur la motion de censure, Assemblée nationale, Paris, 8 avril 2008.</w:t>
      </w:r>
    </w:p>
  </w:footnote>
  <w:footnote w:id="19">
    <w:p w:rsidR="00B4237A" w:rsidRPr="00DA259E" w:rsidRDefault="00B4237A" w:rsidP="00DA259E">
      <w:pPr>
        <w:jc w:val="both"/>
        <w:rPr>
          <w:lang w:val="fr-BE"/>
        </w:rPr>
      </w:pPr>
      <w:r>
        <w:rPr>
          <w:rStyle w:val="Caractresdenotedebasdepage"/>
        </w:rPr>
        <w:footnoteRef/>
      </w:r>
      <w:r w:rsidRPr="00A32CCC">
        <w:rPr>
          <w:lang w:val="fr-BE"/>
        </w:rPr>
        <w:t xml:space="preserve"> Parution en avril 2012. D’autres candidats furent également sollicités dans le même numéro. En janvier et février 2012, ce furent différents experts de partis politiques français qui prirent position. Des entretiens furent également sollicités par la revue </w:t>
      </w:r>
      <w:r w:rsidRPr="00A32CCC">
        <w:rPr>
          <w:i/>
          <w:lang w:val="fr-BE"/>
        </w:rPr>
        <w:t>DSI</w:t>
      </w:r>
      <w:r w:rsidRPr="00A32CCC">
        <w:rPr>
          <w:lang w:val="fr-BE"/>
        </w:rPr>
        <w:t xml:space="preserve"> pour parution en avril 2012.</w:t>
      </w:r>
    </w:p>
  </w:footnote>
  <w:footnote w:id="20">
    <w:p w:rsidR="00B4237A" w:rsidRPr="00DA259E" w:rsidRDefault="00B4237A" w:rsidP="00DA259E">
      <w:pPr>
        <w:jc w:val="both"/>
        <w:rPr>
          <w:lang w:val="fr-BE"/>
        </w:rPr>
      </w:pPr>
      <w:r>
        <w:rPr>
          <w:rStyle w:val="Caractresdenotedebasdepage"/>
        </w:rPr>
        <w:footnoteRef/>
      </w:r>
      <w:r w:rsidRPr="00DA259E">
        <w:rPr>
          <w:lang w:val="fr-BE"/>
        </w:rPr>
        <w:t xml:space="preserve"> L’auteur cite les avancées en matière de mutualisation et partage, du pool </w:t>
      </w:r>
      <w:r w:rsidRPr="00DA259E">
        <w:rPr>
          <w:i/>
          <w:lang w:val="fr-BE"/>
        </w:rPr>
        <w:t>A-400M</w:t>
      </w:r>
      <w:r w:rsidRPr="00DA259E">
        <w:rPr>
          <w:lang w:val="fr-BE"/>
        </w:rPr>
        <w:t xml:space="preserve">, du programme </w:t>
      </w:r>
      <w:r w:rsidRPr="00DA259E">
        <w:rPr>
          <w:i/>
          <w:lang w:val="fr-BE"/>
        </w:rPr>
        <w:t>Galileo</w:t>
      </w:r>
      <w:r w:rsidRPr="00DA259E">
        <w:rPr>
          <w:lang w:val="fr-BE"/>
        </w:rPr>
        <w:t xml:space="preserve">, de l’opération </w:t>
      </w:r>
      <w:r w:rsidRPr="00DA259E">
        <w:rPr>
          <w:i/>
          <w:lang w:val="fr-BE"/>
        </w:rPr>
        <w:t>Atalante</w:t>
      </w:r>
      <w:r w:rsidRPr="00DA259E">
        <w:rPr>
          <w:lang w:val="fr-BE"/>
        </w:rPr>
        <w:t xml:space="preserve"> et de la nouvelle coopération franco-britannique.</w:t>
      </w:r>
    </w:p>
  </w:footnote>
  <w:footnote w:id="21">
    <w:p w:rsidR="00B4237A" w:rsidRPr="00DA259E" w:rsidRDefault="00B4237A" w:rsidP="00DA259E">
      <w:pPr>
        <w:jc w:val="both"/>
        <w:rPr>
          <w:lang w:val="fr-BE"/>
        </w:rPr>
      </w:pPr>
      <w:r>
        <w:rPr>
          <w:rStyle w:val="Caractresdenotedebasdepage"/>
        </w:rPr>
        <w:footnoteRef/>
      </w:r>
      <w:r w:rsidRPr="00DA259E">
        <w:rPr>
          <w:lang w:val="fr-BE"/>
        </w:rPr>
        <w:t xml:space="preserve"> « Le ministre français de la Défense en visite à Bruxelles », www.Bruxelles2.eu, 22 août 2013.</w:t>
      </w:r>
    </w:p>
  </w:footnote>
  <w:footnote w:id="22">
    <w:p w:rsidR="00B4237A" w:rsidRPr="00DA259E" w:rsidRDefault="00B4237A" w:rsidP="007F7F52">
      <w:pPr>
        <w:jc w:val="both"/>
        <w:rPr>
          <w:lang w:val="fr-BE"/>
        </w:rPr>
      </w:pPr>
      <w:r>
        <w:rPr>
          <w:rStyle w:val="Caractresdenotedebasdepage"/>
        </w:rPr>
        <w:footnoteRef/>
      </w:r>
      <w:r w:rsidRPr="00DA259E">
        <w:rPr>
          <w:lang w:val="fr-BE"/>
        </w:rPr>
        <w:t xml:space="preserve"> Entretien du ministre de la Défense, M. Jean-Yves Le Drian, avec le quotidien </w:t>
      </w:r>
      <w:r w:rsidRPr="00DA259E">
        <w:rPr>
          <w:i/>
          <w:lang w:val="fr-BE"/>
        </w:rPr>
        <w:t>Le Monde</w:t>
      </w:r>
      <w:r w:rsidRPr="00DA259E">
        <w:rPr>
          <w:lang w:val="fr-BE"/>
        </w:rPr>
        <w:t>, Paris, 7 juin 2013.</w:t>
      </w:r>
    </w:p>
  </w:footnote>
  <w:footnote w:id="23">
    <w:p w:rsidR="00B4237A" w:rsidRPr="00DA259E" w:rsidRDefault="00B4237A" w:rsidP="00DA259E">
      <w:pPr>
        <w:jc w:val="both"/>
        <w:rPr>
          <w:lang w:val="fr-BE"/>
        </w:rPr>
      </w:pPr>
      <w:r>
        <w:rPr>
          <w:rStyle w:val="Caractresdenotedebasdepage"/>
        </w:rPr>
        <w:footnoteRef/>
      </w:r>
      <w:r w:rsidRPr="00DA259E">
        <w:rPr>
          <w:lang w:val="fr-BE"/>
        </w:rPr>
        <w:t xml:space="preserve"> </w:t>
      </w:r>
      <w:r w:rsidRPr="00DA259E">
        <w:rPr>
          <w:szCs w:val="24"/>
          <w:lang w:val="fr-BE"/>
        </w:rPr>
        <w:t>Hubert Védrine, « Les conséquences du retour de la France dans le commandement militaire intégré de l’Organisation du Traité de l’Atlantique Nord, l’avenir de la relation transatlantique et les perspectives de l’Europe de la défense », rapport au Président de la République, Paris, 14 novembre 2012.</w:t>
      </w:r>
    </w:p>
    <w:p w:rsidR="00B4237A" w:rsidRPr="00DA259E" w:rsidRDefault="00B4237A" w:rsidP="00DA259E">
      <w:pPr>
        <w:pStyle w:val="Notedebasdepage"/>
        <w:pageBreakBefore/>
        <w:rPr>
          <w:lang w:val="fr-BE"/>
        </w:rPr>
      </w:pPr>
    </w:p>
  </w:footnote>
  <w:footnote w:id="24">
    <w:p w:rsidR="00B4237A" w:rsidRPr="00DA259E" w:rsidRDefault="00B4237A" w:rsidP="00895141">
      <w:pPr>
        <w:jc w:val="both"/>
        <w:rPr>
          <w:lang w:val="fr-BE"/>
        </w:rPr>
      </w:pPr>
      <w:r>
        <w:rPr>
          <w:rStyle w:val="Caractresdenotedebasdepage"/>
        </w:rPr>
        <w:footnoteRef/>
      </w:r>
      <w:r w:rsidRPr="00895141">
        <w:rPr>
          <w:lang w:val="fr-BE"/>
        </w:rPr>
        <w:t xml:space="preserve"> </w:t>
      </w:r>
      <w:r w:rsidRPr="00895141">
        <w:rPr>
          <w:i/>
          <w:lang w:val="fr-BE"/>
        </w:rPr>
        <w:t>Cf</w:t>
      </w:r>
      <w:r w:rsidRPr="00895141">
        <w:rPr>
          <w:lang w:val="fr-BE"/>
        </w:rPr>
        <w:t>. à ce sujet André Dumoulin, Delphine Deschaux-Beaume et Sylvain Paile (</w:t>
      </w:r>
      <w:proofErr w:type="spellStart"/>
      <w:r w:rsidRPr="00895141">
        <w:rPr>
          <w:lang w:val="fr-BE"/>
        </w:rPr>
        <w:t>dir</w:t>
      </w:r>
      <w:proofErr w:type="spellEnd"/>
      <w:r w:rsidRPr="00895141">
        <w:rPr>
          <w:lang w:val="fr-BE"/>
        </w:rPr>
        <w:t xml:space="preserve">.), </w:t>
      </w:r>
      <w:r w:rsidRPr="00895141">
        <w:rPr>
          <w:i/>
          <w:lang w:val="fr-BE"/>
        </w:rPr>
        <w:t xml:space="preserve">Politiques de communication, médias et défense. </w:t>
      </w:r>
      <w:r w:rsidRPr="00A32CCC">
        <w:rPr>
          <w:i/>
          <w:lang w:val="fr-BE"/>
        </w:rPr>
        <w:t>L’OTAN et la PSDC : visibilité en Belgique et chez ses voisins</w:t>
      </w:r>
      <w:r w:rsidRPr="00A32CCC">
        <w:rPr>
          <w:lang w:val="fr-BE"/>
        </w:rPr>
        <w:t>, Peter Lang, Bruxelles, 2013 ; André Dumoulin et Philippe Manigart (</w:t>
      </w:r>
      <w:proofErr w:type="spellStart"/>
      <w:r w:rsidRPr="00A32CCC">
        <w:rPr>
          <w:lang w:val="fr-BE"/>
        </w:rPr>
        <w:t>dir</w:t>
      </w:r>
      <w:proofErr w:type="spellEnd"/>
      <w:r w:rsidRPr="00A32CCC">
        <w:rPr>
          <w:lang w:val="fr-BE"/>
        </w:rPr>
        <w:t xml:space="preserve">.), </w:t>
      </w:r>
      <w:r w:rsidRPr="00A32CCC">
        <w:rPr>
          <w:i/>
          <w:lang w:val="fr-BE"/>
        </w:rPr>
        <w:t>Opinions publiques et Politique européenne de sécurité et de défense commune : acteurs, positions, évolutions</w:t>
      </w:r>
      <w:r w:rsidRPr="00A32CCC">
        <w:rPr>
          <w:lang w:val="fr-BE"/>
        </w:rPr>
        <w:t xml:space="preserve">, Bruylant, Bruxelles, 2010. </w:t>
      </w:r>
    </w:p>
  </w:footnote>
  <w:footnote w:id="25">
    <w:p w:rsidR="00B4237A" w:rsidRDefault="00B4237A" w:rsidP="00895141">
      <w:pPr>
        <w:jc w:val="both"/>
      </w:pPr>
      <w:r>
        <w:rPr>
          <w:rStyle w:val="Caractresdenotedebasdepage"/>
        </w:rPr>
        <w:footnoteRef/>
      </w:r>
      <w:r>
        <w:t xml:space="preserve"> </w:t>
      </w:r>
      <w:r>
        <w:rPr>
          <w:i/>
        </w:rPr>
        <w:t>Cf</w:t>
      </w:r>
      <w:r>
        <w:t xml:space="preserve">. Antonio Missiroli, James Rogers </w:t>
      </w:r>
      <w:proofErr w:type="gramStart"/>
      <w:r>
        <w:t>et</w:t>
      </w:r>
      <w:proofErr w:type="gramEnd"/>
      <w:r>
        <w:t xml:space="preserve"> Andrea </w:t>
      </w:r>
      <w:proofErr w:type="spellStart"/>
      <w:r>
        <w:t>Gilli</w:t>
      </w:r>
      <w:proofErr w:type="spellEnd"/>
      <w:r>
        <w:t>, « Enabling the future. European military capabilities 2013-</w:t>
      </w:r>
      <w:proofErr w:type="gramStart"/>
      <w:r>
        <w:t>2025 :</w:t>
      </w:r>
      <w:proofErr w:type="gramEnd"/>
      <w:r>
        <w:t xml:space="preserve"> challenges and avenues », </w:t>
      </w:r>
      <w:r>
        <w:rPr>
          <w:i/>
        </w:rPr>
        <w:t>Report n°16</w:t>
      </w:r>
      <w:r>
        <w:t xml:space="preserve">, EUISS, Paris, May 2013 ; </w:t>
      </w:r>
      <w:r>
        <w:rPr>
          <w:i/>
        </w:rPr>
        <w:t>Annual Report 2012</w:t>
      </w:r>
      <w:r>
        <w:t>, European Defence Agency, Brussels, 2012.</w:t>
      </w:r>
    </w:p>
  </w:footnote>
  <w:footnote w:id="26">
    <w:p w:rsidR="00B4237A" w:rsidRPr="00A32CCC" w:rsidRDefault="00B4237A" w:rsidP="00895141">
      <w:pPr>
        <w:jc w:val="both"/>
        <w:rPr>
          <w:rStyle w:val="Caractresdenotedebasdepage"/>
          <w:i/>
          <w:lang w:val="fr-BE"/>
        </w:rPr>
      </w:pPr>
      <w:r w:rsidRPr="00895141">
        <w:rPr>
          <w:rStyle w:val="Caractresdenotedebasdepage"/>
          <w:i/>
        </w:rPr>
        <w:footnoteRef/>
      </w:r>
      <w:r w:rsidRPr="00895141">
        <w:rPr>
          <w:rStyle w:val="Caractresdenotedebasdepage"/>
          <w:i/>
          <w:lang w:val="fr-BE"/>
        </w:rPr>
        <w:t xml:space="preserve"> Relevons que dans le décret, on ne précise pas les noms des responsables des parlements, administrations et ministères, mais uniquement le nom des personnalités qualifiées extérieures sollicitées. </w:t>
      </w:r>
      <w:r w:rsidRPr="00A32CCC">
        <w:rPr>
          <w:rStyle w:val="Caractresdenotedebasdepage"/>
          <w:i/>
          <w:lang w:val="fr-BE"/>
        </w:rPr>
        <w:t>L’identité officielle des responsables parlementaires, administratifs et ministériels est cependant précisée dans une annexe au Livre blanc 2013 (pp. 151-153), tout comme les personnalités auditionnées par la commission (pp. 154-155).</w:t>
      </w:r>
    </w:p>
  </w:footnote>
  <w:footnote w:id="27">
    <w:p w:rsidR="00B4237A" w:rsidRPr="00895141" w:rsidRDefault="00B4237A" w:rsidP="00895141">
      <w:pPr>
        <w:jc w:val="both"/>
        <w:rPr>
          <w:lang w:val="fr-BE"/>
        </w:rPr>
      </w:pPr>
      <w:r>
        <w:rPr>
          <w:rStyle w:val="Caractresdenotedebasdepage"/>
        </w:rPr>
        <w:footnoteRef/>
      </w:r>
      <w:r w:rsidRPr="00895141">
        <w:rPr>
          <w:lang w:val="fr-BE"/>
        </w:rPr>
        <w:t xml:space="preserve"> À savoir 19 séances plénières, 9 séances d’audition (de 21 personnalités dont 9 étrangères), 2 séminaires.</w:t>
      </w:r>
    </w:p>
  </w:footnote>
  <w:footnote w:id="28">
    <w:p w:rsidR="00B4237A" w:rsidRPr="00DA259E" w:rsidRDefault="00B4237A" w:rsidP="00895141">
      <w:pPr>
        <w:jc w:val="both"/>
        <w:rPr>
          <w:lang w:val="fr-BE"/>
        </w:rPr>
      </w:pPr>
      <w:r>
        <w:rPr>
          <w:rStyle w:val="Caractresdenotedebasdepage"/>
        </w:rPr>
        <w:footnoteRef/>
      </w:r>
      <w:r>
        <w:rPr>
          <w:lang w:val="fr-BE"/>
        </w:rPr>
        <w:t xml:space="preserve"> À</w:t>
      </w:r>
      <w:r w:rsidRPr="00895141">
        <w:rPr>
          <w:lang w:val="fr-BE"/>
        </w:rPr>
        <w:t xml:space="preserve"> savoir Wolfgang </w:t>
      </w:r>
      <w:proofErr w:type="spellStart"/>
      <w:r w:rsidRPr="00895141">
        <w:rPr>
          <w:lang w:val="fr-BE"/>
        </w:rPr>
        <w:t>Ischinger</w:t>
      </w:r>
      <w:proofErr w:type="spellEnd"/>
      <w:r w:rsidRPr="00895141">
        <w:rPr>
          <w:lang w:val="fr-BE"/>
        </w:rPr>
        <w:t>, président de la conférence de Munich pour les politiques de sécurité.</w:t>
      </w:r>
    </w:p>
  </w:footnote>
  <w:footnote w:id="29">
    <w:p w:rsidR="00B4237A" w:rsidRPr="00DA259E" w:rsidRDefault="00B4237A" w:rsidP="00895141">
      <w:pPr>
        <w:jc w:val="both"/>
        <w:rPr>
          <w:lang w:val="fr-BE"/>
        </w:rPr>
      </w:pPr>
      <w:r>
        <w:rPr>
          <w:rStyle w:val="Caractresdenotedebasdepage"/>
        </w:rPr>
        <w:footnoteRef/>
      </w:r>
      <w:r>
        <w:rPr>
          <w:lang w:val="fr-BE"/>
        </w:rPr>
        <w:t xml:space="preserve"> À</w:t>
      </w:r>
      <w:r w:rsidRPr="00895141">
        <w:rPr>
          <w:lang w:val="fr-BE"/>
        </w:rPr>
        <w:t xml:space="preserve"> savoir Sir Peter </w:t>
      </w:r>
      <w:proofErr w:type="spellStart"/>
      <w:r w:rsidRPr="00895141">
        <w:rPr>
          <w:lang w:val="fr-BE"/>
        </w:rPr>
        <w:t>Ricketts</w:t>
      </w:r>
      <w:proofErr w:type="spellEnd"/>
      <w:r w:rsidRPr="00895141">
        <w:rPr>
          <w:lang w:val="fr-BE"/>
        </w:rPr>
        <w:t>, ambassadeur du Royaume-Uni en France.</w:t>
      </w:r>
    </w:p>
  </w:footnote>
  <w:footnote w:id="30">
    <w:p w:rsidR="00B4237A" w:rsidRPr="00895141" w:rsidRDefault="00B4237A" w:rsidP="00895141">
      <w:pPr>
        <w:jc w:val="both"/>
        <w:rPr>
          <w:lang w:val="fr-BE"/>
        </w:rPr>
      </w:pPr>
      <w:r>
        <w:rPr>
          <w:rStyle w:val="Caractresdenotedebasdepage"/>
        </w:rPr>
        <w:footnoteRef/>
      </w:r>
      <w:r w:rsidRPr="00895141">
        <w:rPr>
          <w:lang w:val="fr-BE"/>
        </w:rPr>
        <w:t xml:space="preserve"> Véronique </w:t>
      </w:r>
      <w:proofErr w:type="spellStart"/>
      <w:r w:rsidRPr="00895141">
        <w:rPr>
          <w:lang w:val="fr-BE"/>
        </w:rPr>
        <w:t>Guillermard</w:t>
      </w:r>
      <w:proofErr w:type="spellEnd"/>
      <w:r w:rsidRPr="00895141">
        <w:rPr>
          <w:lang w:val="fr-BE"/>
        </w:rPr>
        <w:t xml:space="preserve">, « Vers une nouvelle stratégie de défense », dans </w:t>
      </w:r>
      <w:r w:rsidRPr="00895141">
        <w:rPr>
          <w:i/>
          <w:lang w:val="fr-BE"/>
        </w:rPr>
        <w:t>Le Monde »</w:t>
      </w:r>
      <w:r w:rsidRPr="00895141">
        <w:rPr>
          <w:lang w:val="fr-BE"/>
        </w:rPr>
        <w:t>, 14-15 juillet 2012.</w:t>
      </w:r>
    </w:p>
  </w:footnote>
  <w:footnote w:id="31">
    <w:p w:rsidR="00B4237A" w:rsidRPr="00DA259E" w:rsidRDefault="00B4237A" w:rsidP="00895141">
      <w:pPr>
        <w:jc w:val="both"/>
        <w:rPr>
          <w:lang w:val="fr-BE"/>
        </w:rPr>
      </w:pPr>
      <w:r>
        <w:rPr>
          <w:rStyle w:val="Caractresdenotedebasdepage"/>
        </w:rPr>
        <w:footnoteRef/>
      </w:r>
      <w:r w:rsidRPr="00895141">
        <w:rPr>
          <w:lang w:val="fr-BE"/>
        </w:rPr>
        <w:t xml:space="preserve"> Selon Jacques Gautier (UMP), « Le Livre blanc 2013 : un exercice passionnant mais décevant », dans </w:t>
      </w:r>
      <w:r w:rsidRPr="00895141">
        <w:rPr>
          <w:i/>
          <w:lang w:val="fr-BE"/>
        </w:rPr>
        <w:t>Revue de Défense nationale,</w:t>
      </w:r>
      <w:r w:rsidRPr="00895141">
        <w:rPr>
          <w:lang w:val="fr-BE"/>
        </w:rPr>
        <w:t xml:space="preserve"> Paris, juin 2013, p. 91. </w:t>
      </w:r>
      <w:r w:rsidRPr="00A32CCC">
        <w:rPr>
          <w:lang w:val="fr-BE"/>
        </w:rPr>
        <w:t xml:space="preserve">Pour d’autres appréciations autour de la fabrication du Livre blanc, </w:t>
      </w:r>
      <w:r w:rsidRPr="00A32CCC">
        <w:rPr>
          <w:i/>
          <w:lang w:val="fr-BE"/>
        </w:rPr>
        <w:t>cf</w:t>
      </w:r>
      <w:r w:rsidRPr="00A32CCC">
        <w:rPr>
          <w:lang w:val="fr-BE"/>
        </w:rPr>
        <w:t xml:space="preserve">. « La France recentre sa politique de défense », </w:t>
      </w:r>
      <w:r w:rsidRPr="00A32CCC">
        <w:rPr>
          <w:i/>
          <w:lang w:val="fr-BE"/>
        </w:rPr>
        <w:t>Le Figaro</w:t>
      </w:r>
      <w:r w:rsidRPr="00A32CCC">
        <w:rPr>
          <w:lang w:val="fr-BE"/>
        </w:rPr>
        <w:t>, 26 avril 2013.</w:t>
      </w:r>
    </w:p>
  </w:footnote>
  <w:footnote w:id="32">
    <w:p w:rsidR="00B4237A" w:rsidRPr="00DA259E" w:rsidRDefault="00B4237A" w:rsidP="00895141">
      <w:pPr>
        <w:pStyle w:val="FootnoteText1"/>
        <w:pageBreakBefore/>
        <w:rPr>
          <w:lang w:val="fr-BE"/>
        </w:rPr>
      </w:pPr>
      <w:r>
        <w:rPr>
          <w:rStyle w:val="Caractresdenotedebasdepage"/>
        </w:rPr>
        <w:footnoteRef/>
      </w:r>
      <w:r>
        <w:t>Citons « Quelle Europe, pour quelle défense ? » (Rapport n°713, Sénat, 3 juillet 2013) ; «  A 400M. Tout simplement le meilleur » (Rapport d’information n°634 du Sénat, Paris, 4 juillet 2012) ; le document du Secrétariat général de la défense et de la sécurité nationale (SGDSN) préparatoire à l’actualisation du Livre blanc, sur la défense et la sécurité nationale. Il fut publié, avec trois mois de retard, le 12 mars 2012 sous le titre : « La France face aux évolutions du contexte international et stratégique », document rédigé à partir d’un mandat donné alors par le président Sarkozy au SGDSN. En outre, il faut également prendre en compte les différents rapports de l’Assemblée nationale et du Sénat sortis en 2012 sur la loi de finances pour 2013 dans les différentes thématiques de sécurité-défense.</w:t>
      </w:r>
    </w:p>
  </w:footnote>
  <w:footnote w:id="33">
    <w:p w:rsidR="00B4237A" w:rsidRPr="00DA259E" w:rsidRDefault="00B4237A" w:rsidP="00895141">
      <w:pPr>
        <w:jc w:val="both"/>
        <w:rPr>
          <w:lang w:val="fr-BE"/>
        </w:rPr>
      </w:pPr>
      <w:r w:rsidRPr="00314ADA">
        <w:rPr>
          <w:rStyle w:val="Caractresdenotedebasdepage"/>
        </w:rPr>
        <w:footnoteRef/>
      </w:r>
      <w:r w:rsidRPr="00DA259E">
        <w:rPr>
          <w:lang w:val="fr-BE"/>
        </w:rPr>
        <w:t xml:space="preserve"> La Lettre de mission datait du 18 juillet 2012.</w:t>
      </w:r>
    </w:p>
  </w:footnote>
  <w:footnote w:id="34">
    <w:p w:rsidR="00B4237A" w:rsidRPr="00DA259E" w:rsidRDefault="00B4237A" w:rsidP="00895141">
      <w:pPr>
        <w:pStyle w:val="FootnoteText1"/>
        <w:pageBreakBefore/>
        <w:rPr>
          <w:lang w:val="fr-BE"/>
        </w:rPr>
      </w:pPr>
      <w:r>
        <w:rPr>
          <w:rStyle w:val="Caractresdenotedebasdepage"/>
        </w:rPr>
        <w:footnoteRef/>
      </w:r>
      <w:r>
        <w:t xml:space="preserve"> « La dernière ligne droite pour le Livre blanc français. Une règle d’or… », </w:t>
      </w:r>
      <w:hyperlink r:id="rId3" w:history="1">
        <w:r>
          <w:rPr>
            <w:rStyle w:val="Lienhypertexte"/>
          </w:rPr>
          <w:t>www.bruxelles2.eu</w:t>
        </w:r>
      </w:hyperlink>
      <w:proofErr w:type="gramStart"/>
      <w:r>
        <w:t>,,</w:t>
      </w:r>
      <w:proofErr w:type="gramEnd"/>
      <w:r>
        <w:t xml:space="preserve"> 25 mars 2013.</w:t>
      </w:r>
    </w:p>
  </w:footnote>
  <w:footnote w:id="35">
    <w:p w:rsidR="00B4237A" w:rsidRPr="00DA259E" w:rsidRDefault="00B4237A" w:rsidP="007F7F52">
      <w:pPr>
        <w:jc w:val="both"/>
        <w:rPr>
          <w:lang w:val="fr-BE"/>
        </w:rPr>
      </w:pPr>
      <w:r>
        <w:rPr>
          <w:rStyle w:val="Caractresdenotedebasdepage"/>
        </w:rPr>
        <w:footnoteRef/>
      </w:r>
      <w:r w:rsidRPr="00CA0FBA">
        <w:rPr>
          <w:lang w:val="fr-BE"/>
        </w:rPr>
        <w:t xml:space="preserve">Christian Eckert, </w:t>
      </w:r>
      <w:r w:rsidRPr="00CA0FBA">
        <w:rPr>
          <w:i/>
          <w:lang w:val="fr-BE"/>
        </w:rPr>
        <w:t>Rapport n°251. Annexe 10. Défense. Préparation de l’avenir,</w:t>
      </w:r>
      <w:r w:rsidRPr="00CA0FBA">
        <w:rPr>
          <w:lang w:val="fr-BE"/>
        </w:rPr>
        <w:t xml:space="preserve"> Assemblée nationale, Paris, 10 octobre 2012, pp. 7-8. Martial Foucault, « Les budgets de défense en France, entre déni et déclin », </w:t>
      </w:r>
      <w:r w:rsidRPr="00CA0FBA">
        <w:rPr>
          <w:i/>
          <w:lang w:val="fr-BE"/>
        </w:rPr>
        <w:t>Focus stratégique</w:t>
      </w:r>
      <w:r w:rsidRPr="00CA0FBA">
        <w:rPr>
          <w:lang w:val="fr-BE"/>
        </w:rPr>
        <w:t xml:space="preserve"> n°36, IFRI, Paris, avril 2012 ; Nathalie Guibert, « L’état-major réclame des choix politiques clairs pour l’avenir des armées », dans </w:t>
      </w:r>
      <w:r w:rsidRPr="00CA0FBA">
        <w:rPr>
          <w:i/>
          <w:lang w:val="fr-BE"/>
        </w:rPr>
        <w:t>Le Monde</w:t>
      </w:r>
      <w:r w:rsidRPr="00CA0FBA">
        <w:rPr>
          <w:lang w:val="fr-BE"/>
        </w:rPr>
        <w:t xml:space="preserve">, 24 juillet 2012 ; Véronique </w:t>
      </w:r>
      <w:proofErr w:type="spellStart"/>
      <w:r w:rsidRPr="00CA0FBA">
        <w:rPr>
          <w:lang w:val="fr-BE"/>
        </w:rPr>
        <w:t>Guillermard</w:t>
      </w:r>
      <w:proofErr w:type="spellEnd"/>
      <w:r w:rsidRPr="00CA0FBA">
        <w:rPr>
          <w:lang w:val="fr-BE"/>
        </w:rPr>
        <w:t xml:space="preserve">, « Défense : 6 milliards de report de commandes », dans </w:t>
      </w:r>
      <w:r w:rsidRPr="00CA0FBA">
        <w:rPr>
          <w:i/>
          <w:lang w:val="fr-BE"/>
        </w:rPr>
        <w:t>Le Figaro</w:t>
      </w:r>
      <w:r w:rsidRPr="00CA0FBA">
        <w:rPr>
          <w:lang w:val="fr-BE"/>
        </w:rPr>
        <w:t xml:space="preserve">, 1er août 2012 ; Guy Tessier (entretien), « Adapter toujours plus les moyens aux missions », dans </w:t>
      </w:r>
      <w:r w:rsidRPr="00CA0FBA">
        <w:rPr>
          <w:i/>
          <w:lang w:val="fr-BE"/>
        </w:rPr>
        <w:t xml:space="preserve">DSI hors -série 19, « Les forces armées françaises. Réductions budgétaires vs enjeux capacitaires », Areion, Paris, août-septembre 2011, pp. 8-9 ; « Défense : le livre blanc prépare un tsunami pour les armées », dans  </w:t>
      </w:r>
      <w:hyperlink r:id="rId4" w:history="1">
        <w:r w:rsidRPr="00CA0FBA">
          <w:rPr>
            <w:rStyle w:val="Lienhypertexte"/>
            <w:lang w:val="fr-BE"/>
          </w:rPr>
          <w:t>www.latribune.fr</w:t>
        </w:r>
      </w:hyperlink>
      <w:r w:rsidRPr="00CA0FBA">
        <w:rPr>
          <w:i/>
          <w:lang w:val="fr-BE"/>
        </w:rPr>
        <w:t xml:space="preserve">, Paris, 18 février 2013 ; « Maintenir un effort minimal de défense de 1,5% du PIB », Communiqué de presse des groupes politiques du Sénat, Paris, 13 mars 2013 ; Patricia Adam, (PS) : « Bercy veut tuer le ministère de la défense », Interview, dans Le Monde, 25 mars 2013 ; Jean Guisnel, « Vers un apocalypse budgétaire pour les armées », dans </w:t>
      </w:r>
      <w:hyperlink r:id="rId5" w:history="1">
        <w:r w:rsidRPr="00CA0FBA">
          <w:rPr>
            <w:rStyle w:val="Lienhypertexte"/>
            <w:lang w:val="fr-BE"/>
          </w:rPr>
          <w:t>www.lepoint.fr</w:t>
        </w:r>
      </w:hyperlink>
      <w:r w:rsidRPr="00CA0FBA">
        <w:rPr>
          <w:i/>
          <w:lang w:val="fr-BE"/>
        </w:rPr>
        <w:t xml:space="preserve">, Paris, 13 mars 2013 ; Nicolas Baverez, « Le Livre noir de la défense nationale », </w:t>
      </w:r>
      <w:hyperlink r:id="rId6" w:history="1">
        <w:r w:rsidRPr="00CA0FBA">
          <w:rPr>
            <w:rStyle w:val="Lienhypertexte"/>
            <w:lang w:val="fr-BE"/>
          </w:rPr>
          <w:t>www.lepoint.fr</w:t>
        </w:r>
      </w:hyperlink>
      <w:r w:rsidRPr="00CA0FBA">
        <w:rPr>
          <w:i/>
          <w:lang w:val="fr-BE"/>
        </w:rPr>
        <w:t>, Paris, 21 mars 2013.</w:t>
      </w:r>
    </w:p>
  </w:footnote>
  <w:footnote w:id="36">
    <w:p w:rsidR="00B4237A" w:rsidRPr="00895141" w:rsidRDefault="00B4237A" w:rsidP="00895141">
      <w:pPr>
        <w:ind w:left="426" w:hanging="426"/>
        <w:jc w:val="both"/>
        <w:rPr>
          <w:lang w:val="fr-BE"/>
        </w:rPr>
      </w:pPr>
      <w:r>
        <w:rPr>
          <w:rStyle w:val="Caractresdenotedebasdepage"/>
        </w:rPr>
        <w:footnoteRef/>
      </w:r>
      <w:r>
        <w:rPr>
          <w:lang w:val="fr-BE"/>
        </w:rPr>
        <w:t xml:space="preserve">   </w:t>
      </w:r>
      <w:r w:rsidRPr="00895141">
        <w:rPr>
          <w:lang w:val="fr-BE"/>
        </w:rPr>
        <w:t xml:space="preserve">Éditorial, « Armée amputée, France déclassée », dans </w:t>
      </w:r>
      <w:r w:rsidRPr="00895141">
        <w:rPr>
          <w:i/>
          <w:lang w:val="fr-BE"/>
        </w:rPr>
        <w:t>Le Monde</w:t>
      </w:r>
      <w:r w:rsidRPr="00895141">
        <w:rPr>
          <w:lang w:val="fr-BE"/>
        </w:rPr>
        <w:t>, 26 mars 2013.</w:t>
      </w:r>
    </w:p>
  </w:footnote>
  <w:footnote w:id="37">
    <w:p w:rsidR="00B4237A" w:rsidRPr="00DA259E" w:rsidRDefault="00B4237A" w:rsidP="00895141">
      <w:pPr>
        <w:jc w:val="both"/>
        <w:rPr>
          <w:lang w:val="fr-BE"/>
        </w:rPr>
      </w:pPr>
      <w:r>
        <w:rPr>
          <w:rStyle w:val="Caractresdenotedebasdepage"/>
        </w:rPr>
        <w:footnoteRef/>
      </w:r>
      <w:r w:rsidRPr="00895141">
        <w:rPr>
          <w:lang w:val="fr-BE"/>
        </w:rPr>
        <w:t xml:space="preserve"> Amiral Guillaud, audition, Assemblée nationale, Paris, 11 juillet 2012.</w:t>
      </w:r>
    </w:p>
  </w:footnote>
  <w:footnote w:id="38">
    <w:p w:rsidR="00B4237A" w:rsidRPr="00895141" w:rsidRDefault="00B4237A" w:rsidP="00895141">
      <w:pPr>
        <w:jc w:val="both"/>
        <w:rPr>
          <w:lang w:val="fr-BE"/>
        </w:rPr>
      </w:pPr>
      <w:r>
        <w:rPr>
          <w:rStyle w:val="Caractresdenotedebasdepage"/>
        </w:rPr>
        <w:footnoteRef/>
      </w:r>
      <w:r w:rsidRPr="00895141">
        <w:rPr>
          <w:lang w:val="fr-BE"/>
        </w:rPr>
        <w:t xml:space="preserve"> Quatre ans de retard et des surcoûts de près de 6,2 milliards d’euros (</w:t>
      </w:r>
      <w:r w:rsidRPr="00895141">
        <w:rPr>
          <w:i/>
          <w:lang w:val="fr-BE"/>
        </w:rPr>
        <w:t>Le Figaro</w:t>
      </w:r>
      <w:r w:rsidRPr="00895141">
        <w:rPr>
          <w:lang w:val="fr-BE"/>
        </w:rPr>
        <w:t>, 26 juillet 2012).</w:t>
      </w:r>
    </w:p>
  </w:footnote>
  <w:footnote w:id="39">
    <w:p w:rsidR="00B4237A" w:rsidRPr="00DA259E" w:rsidRDefault="00B4237A" w:rsidP="00895141">
      <w:pPr>
        <w:jc w:val="both"/>
        <w:rPr>
          <w:lang w:val="fr-BE"/>
        </w:rPr>
      </w:pPr>
      <w:r>
        <w:rPr>
          <w:rStyle w:val="Caractresdenotedebasdepage"/>
        </w:rPr>
        <w:footnoteRef/>
      </w:r>
      <w:r w:rsidRPr="00895141">
        <w:rPr>
          <w:lang w:val="fr-BE"/>
        </w:rPr>
        <w:t xml:space="preserve"> Georges-Henri </w:t>
      </w:r>
      <w:proofErr w:type="spellStart"/>
      <w:r w:rsidRPr="00895141">
        <w:rPr>
          <w:lang w:val="fr-BE"/>
        </w:rPr>
        <w:t>Bricet</w:t>
      </w:r>
      <w:proofErr w:type="spellEnd"/>
      <w:r w:rsidRPr="00895141">
        <w:rPr>
          <w:lang w:val="fr-BE"/>
        </w:rPr>
        <w:t xml:space="preserve"> Des Vallons, « Décadence et chute de l’armée française », dans </w:t>
      </w:r>
      <w:r w:rsidRPr="00895141">
        <w:rPr>
          <w:i/>
          <w:lang w:val="fr-BE"/>
        </w:rPr>
        <w:t>DSI</w:t>
      </w:r>
      <w:r w:rsidRPr="00895141">
        <w:rPr>
          <w:lang w:val="fr-BE"/>
        </w:rPr>
        <w:t>, hors série n°27, Areion, Paris, janvier 2013, p. 13 et sv.</w:t>
      </w:r>
    </w:p>
  </w:footnote>
  <w:footnote w:id="40">
    <w:p w:rsidR="00B4237A" w:rsidRPr="00DA259E" w:rsidRDefault="00B4237A" w:rsidP="00895141">
      <w:pPr>
        <w:jc w:val="both"/>
        <w:rPr>
          <w:lang w:val="fr-BE"/>
        </w:rPr>
      </w:pPr>
      <w:r>
        <w:rPr>
          <w:rStyle w:val="Caractresdenotedebasdepage"/>
        </w:rPr>
        <w:footnoteRef/>
      </w:r>
      <w:r w:rsidRPr="00895141">
        <w:rPr>
          <w:lang w:val="fr-BE"/>
        </w:rPr>
        <w:t xml:space="preserve"> « Dans un contexte de désarmement unilatéral des États européens, le simple maintien à niveau capacitaire fait d’ores et déjà de notre pays le leader politique naturel d’une Europe qui ne saurait longtemps se satisfaire de la prééminence économique de l’Allemagne ». </w:t>
      </w:r>
      <w:r w:rsidRPr="00A32CCC">
        <w:rPr>
          <w:lang w:val="fr-BE"/>
        </w:rPr>
        <w:t xml:space="preserve">(Patricia Adam, Présidente de la commission de la défense nationale et des forces armées de l’Assemblée nationale, Entretien, dans </w:t>
      </w:r>
      <w:r w:rsidRPr="00A32CCC">
        <w:rPr>
          <w:i/>
          <w:lang w:val="fr-BE"/>
        </w:rPr>
        <w:t>Défense</w:t>
      </w:r>
      <w:r w:rsidRPr="00A32CCC">
        <w:rPr>
          <w:lang w:val="fr-BE"/>
        </w:rPr>
        <w:t xml:space="preserve">, Union-IHEDN, n°162, Paris, </w:t>
      </w:r>
      <w:proofErr w:type="spellStart"/>
      <w:r w:rsidRPr="00A32CCC">
        <w:rPr>
          <w:lang w:val="fr-BE"/>
        </w:rPr>
        <w:t>mai-juin</w:t>
      </w:r>
      <w:proofErr w:type="spellEnd"/>
      <w:r w:rsidRPr="00A32CCC">
        <w:rPr>
          <w:lang w:val="fr-BE"/>
        </w:rPr>
        <w:t xml:space="preserve"> 2013, p. 11).</w:t>
      </w:r>
    </w:p>
  </w:footnote>
  <w:footnote w:id="41">
    <w:p w:rsidR="00B4237A" w:rsidRPr="00DA259E" w:rsidRDefault="00B4237A" w:rsidP="00895141">
      <w:pPr>
        <w:jc w:val="both"/>
        <w:rPr>
          <w:lang w:val="fr-BE"/>
        </w:rPr>
      </w:pPr>
      <w:r>
        <w:rPr>
          <w:rStyle w:val="Caractresdenotedebasdepage"/>
        </w:rPr>
        <w:footnoteRef/>
      </w:r>
      <w:r w:rsidRPr="00895141">
        <w:rPr>
          <w:lang w:val="fr-BE"/>
        </w:rPr>
        <w:t xml:space="preserve"> Conférence de Dominique David, « La France et l’Europe : que change l’élection présidentielle ? », IFRI-Bruxelles, 7 mai 2012.</w:t>
      </w:r>
    </w:p>
  </w:footnote>
  <w:footnote w:id="42">
    <w:p w:rsidR="00B4237A" w:rsidRPr="00FB7F9E" w:rsidRDefault="00B4237A" w:rsidP="007F7F52">
      <w:r>
        <w:rPr>
          <w:rStyle w:val="Caractresdenotedebasdepage"/>
        </w:rPr>
        <w:footnoteRef/>
      </w:r>
      <w:r w:rsidRPr="00895141">
        <w:rPr>
          <w:lang w:val="fr-BE"/>
        </w:rPr>
        <w:t xml:space="preserve"> En outre, ces trois derniers pays furent cités par l’amiral Guillaud, chef d’état-major des armées (Audition, Assemblée nationale, Paris, 11 juillet 2012). </w:t>
      </w:r>
      <w:r>
        <w:rPr>
          <w:i/>
        </w:rPr>
        <w:t>Cf</w:t>
      </w:r>
      <w:r>
        <w:t xml:space="preserve">. </w:t>
      </w:r>
      <w:proofErr w:type="spellStart"/>
      <w:r>
        <w:t>aussi</w:t>
      </w:r>
      <w:proofErr w:type="spellEnd"/>
      <w:r>
        <w:t xml:space="preserve"> Vivien </w:t>
      </w:r>
      <w:proofErr w:type="spellStart"/>
      <w:r>
        <w:t>Pertusot</w:t>
      </w:r>
      <w:proofErr w:type="spellEnd"/>
      <w:r>
        <w:t xml:space="preserve">, </w:t>
      </w:r>
      <w:r>
        <w:rPr>
          <w:lang w:val="en-GB"/>
        </w:rPr>
        <w:t>« </w:t>
      </w:r>
      <w:r>
        <w:t xml:space="preserve">Defence and Foreign Policy </w:t>
      </w:r>
      <w:proofErr w:type="gramStart"/>
      <w:r>
        <w:t>Under</w:t>
      </w:r>
      <w:proofErr w:type="gramEnd"/>
      <w:r>
        <w:t xml:space="preserve"> President-elect François </w:t>
      </w:r>
      <w:proofErr w:type="spellStart"/>
      <w:r>
        <w:t>Hollande</w:t>
      </w:r>
      <w:proofErr w:type="spellEnd"/>
      <w:r>
        <w:rPr>
          <w:lang w:val="en-GB"/>
        </w:rPr>
        <w:t> »</w:t>
      </w:r>
      <w:r>
        <w:t xml:space="preserve"> (</w:t>
      </w:r>
      <w:hyperlink r:id="rId7" w:history="1">
        <w:r w:rsidRPr="00DA259E">
          <w:rPr>
            <w:rStyle w:val="Lienhypertexte"/>
          </w:rPr>
          <w:t>www.rusi.org</w:t>
        </w:r>
      </w:hyperlink>
      <w:r>
        <w:t>, 6 May 2012).</w:t>
      </w:r>
    </w:p>
  </w:footnote>
  <w:footnote w:id="43">
    <w:p w:rsidR="00B4237A" w:rsidRPr="00895141" w:rsidRDefault="00B4237A" w:rsidP="00895141">
      <w:pPr>
        <w:jc w:val="both"/>
        <w:rPr>
          <w:lang w:val="fr-BE"/>
        </w:rPr>
      </w:pPr>
      <w:r>
        <w:rPr>
          <w:rStyle w:val="Caractresdenotedebasdepage"/>
        </w:rPr>
        <w:footnoteRef/>
      </w:r>
      <w:r w:rsidRPr="00895141">
        <w:rPr>
          <w:lang w:val="fr-BE"/>
        </w:rPr>
        <w:t xml:space="preserve"> François Heisbourg, séminaire de l’IFRI autour de la révision du Livre blanc, Paris, 17 novembre  2011.</w:t>
      </w:r>
    </w:p>
  </w:footnote>
  <w:footnote w:id="44">
    <w:p w:rsidR="00B4237A" w:rsidRPr="00DA259E" w:rsidRDefault="00B4237A" w:rsidP="00895141">
      <w:pPr>
        <w:jc w:val="both"/>
        <w:rPr>
          <w:lang w:val="fr-BE"/>
        </w:rPr>
      </w:pPr>
      <w:r>
        <w:rPr>
          <w:rStyle w:val="Caractresdenotedebasdepage"/>
        </w:rPr>
        <w:footnoteRef/>
      </w:r>
      <w:r w:rsidRPr="00895141">
        <w:rPr>
          <w:lang w:val="fr-BE"/>
        </w:rPr>
        <w:t xml:space="preserve"> A ce sujet, </w:t>
      </w:r>
      <w:r w:rsidRPr="00895141">
        <w:rPr>
          <w:i/>
          <w:lang w:val="fr-BE"/>
        </w:rPr>
        <w:t>cf</w:t>
      </w:r>
      <w:r w:rsidRPr="00895141">
        <w:rPr>
          <w:lang w:val="fr-BE"/>
        </w:rPr>
        <w:t xml:space="preserve">. Christian Mölling and Sophie-Charlotte Brune, </w:t>
      </w:r>
      <w:r w:rsidRPr="00895141">
        <w:rPr>
          <w:i/>
          <w:lang w:val="fr-BE"/>
        </w:rPr>
        <w:t xml:space="preserve">The Impact of the Financial </w:t>
      </w:r>
      <w:proofErr w:type="spellStart"/>
      <w:r w:rsidRPr="00895141">
        <w:rPr>
          <w:i/>
          <w:lang w:val="fr-BE"/>
        </w:rPr>
        <w:t>crisis</w:t>
      </w:r>
      <w:proofErr w:type="spellEnd"/>
      <w:r w:rsidRPr="00895141">
        <w:rPr>
          <w:i/>
          <w:lang w:val="fr-BE"/>
        </w:rPr>
        <w:t xml:space="preserve"> on European </w:t>
      </w:r>
      <w:proofErr w:type="spellStart"/>
      <w:r w:rsidRPr="00895141">
        <w:rPr>
          <w:i/>
          <w:lang w:val="fr-BE"/>
        </w:rPr>
        <w:t>Defence</w:t>
      </w:r>
      <w:proofErr w:type="spellEnd"/>
      <w:r w:rsidRPr="00895141">
        <w:rPr>
          <w:lang w:val="fr-BE"/>
        </w:rPr>
        <w:t xml:space="preserve">, Policy </w:t>
      </w:r>
      <w:proofErr w:type="spellStart"/>
      <w:r w:rsidRPr="00895141">
        <w:rPr>
          <w:lang w:val="fr-BE"/>
        </w:rPr>
        <w:t>Department</w:t>
      </w:r>
      <w:proofErr w:type="spellEnd"/>
      <w:r w:rsidRPr="00895141">
        <w:rPr>
          <w:lang w:val="fr-BE"/>
        </w:rPr>
        <w:t xml:space="preserve">, Directorate-General for </w:t>
      </w:r>
      <w:proofErr w:type="spellStart"/>
      <w:r w:rsidRPr="00895141">
        <w:rPr>
          <w:lang w:val="fr-BE"/>
        </w:rPr>
        <w:t>External</w:t>
      </w:r>
      <w:proofErr w:type="spellEnd"/>
      <w:r w:rsidRPr="00895141">
        <w:rPr>
          <w:lang w:val="fr-BE"/>
        </w:rPr>
        <w:t xml:space="preserve"> </w:t>
      </w:r>
      <w:proofErr w:type="spellStart"/>
      <w:r w:rsidRPr="00895141">
        <w:rPr>
          <w:lang w:val="fr-BE"/>
        </w:rPr>
        <w:t>Policies</w:t>
      </w:r>
      <w:proofErr w:type="spellEnd"/>
      <w:r w:rsidRPr="00895141">
        <w:rPr>
          <w:lang w:val="fr-BE"/>
        </w:rPr>
        <w:t xml:space="preserve">, European Parliament, Brussels, 2011; Fabio </w:t>
      </w:r>
      <w:proofErr w:type="spellStart"/>
      <w:r w:rsidRPr="00895141">
        <w:rPr>
          <w:lang w:val="fr-BE"/>
        </w:rPr>
        <w:t>Liberti</w:t>
      </w:r>
      <w:proofErr w:type="spellEnd"/>
      <w:r w:rsidRPr="00895141">
        <w:rPr>
          <w:lang w:val="fr-BE"/>
        </w:rPr>
        <w:t xml:space="preserve">, </w:t>
      </w:r>
      <w:r w:rsidRPr="00895141">
        <w:rPr>
          <w:i/>
          <w:lang w:val="fr-BE"/>
        </w:rPr>
        <w:t>Les dépenses de défense en Europe : peut-on faire mieux sans dépenser plus ?</w:t>
      </w:r>
      <w:r w:rsidRPr="00895141">
        <w:rPr>
          <w:lang w:val="fr-BE"/>
        </w:rPr>
        <w:t xml:space="preserve">, Fondation Notre Europe, Paris, juillet 2011. </w:t>
      </w:r>
    </w:p>
  </w:footnote>
  <w:footnote w:id="45">
    <w:p w:rsidR="00B4237A" w:rsidRPr="00FB7F9E" w:rsidRDefault="00B4237A" w:rsidP="00895141">
      <w:pPr>
        <w:jc w:val="both"/>
      </w:pPr>
      <w:r>
        <w:rPr>
          <w:rStyle w:val="Caractresdenotedebasdepage"/>
        </w:rPr>
        <w:footnoteRef/>
      </w:r>
      <w:r>
        <w:t xml:space="preserve"> </w:t>
      </w:r>
      <w:proofErr w:type="spellStart"/>
      <w:r>
        <w:t>Amiral</w:t>
      </w:r>
      <w:proofErr w:type="spellEnd"/>
      <w:r>
        <w:t xml:space="preserve"> </w:t>
      </w:r>
      <w:proofErr w:type="spellStart"/>
      <w:r>
        <w:t>Guillaud</w:t>
      </w:r>
      <w:proofErr w:type="spellEnd"/>
      <w:r>
        <w:t xml:space="preserve">, audition, Assemblée nationale, Paris, 11 </w:t>
      </w:r>
      <w:proofErr w:type="spellStart"/>
      <w:r>
        <w:t>juillet</w:t>
      </w:r>
      <w:proofErr w:type="spellEnd"/>
      <w:r>
        <w:t xml:space="preserve"> </w:t>
      </w:r>
      <w:proofErr w:type="gramStart"/>
      <w:r>
        <w:t>2012 ;</w:t>
      </w:r>
      <w:proofErr w:type="gramEnd"/>
      <w:r>
        <w:t xml:space="preserve"> Judy Dempsey, « What Hopes for Europe’s Defense after the French Military Review? », www.Carnegieeurope.eu, 2 May 2013.</w:t>
      </w:r>
    </w:p>
  </w:footnote>
  <w:footnote w:id="46">
    <w:p w:rsidR="00B4237A" w:rsidRPr="00A32CCC" w:rsidRDefault="00B4237A" w:rsidP="00895141">
      <w:pPr>
        <w:jc w:val="both"/>
        <w:rPr>
          <w:lang w:val="fr-BE"/>
        </w:rPr>
      </w:pPr>
      <w:r>
        <w:rPr>
          <w:rStyle w:val="Caractresdenotedebasdepage"/>
        </w:rPr>
        <w:footnoteRef/>
      </w:r>
      <w:r w:rsidRPr="00DA259E">
        <w:rPr>
          <w:lang w:val="fr-BE"/>
        </w:rPr>
        <w:t xml:space="preserve"> </w:t>
      </w:r>
      <w:r w:rsidRPr="00DA259E">
        <w:rPr>
          <w:i/>
          <w:lang w:val="fr-BE"/>
        </w:rPr>
        <w:t>Cf</w:t>
      </w:r>
      <w:r w:rsidRPr="00DA259E">
        <w:rPr>
          <w:lang w:val="fr-BE"/>
        </w:rPr>
        <w:t>. Compte rendu de l’Université de la Défense 2012, Brest, 10-11 septembre 2012 (</w:t>
      </w:r>
      <w:hyperlink r:id="rId8" w:history="1">
        <w:r w:rsidRPr="00DA259E">
          <w:rPr>
            <w:rStyle w:val="Lienhypertexte"/>
            <w:lang w:val="fr-BE"/>
          </w:rPr>
          <w:t>www.meretmarine.com</w:t>
        </w:r>
      </w:hyperlink>
      <w:r w:rsidRPr="00DA259E">
        <w:rPr>
          <w:lang w:val="fr-BE"/>
        </w:rPr>
        <w:t xml:space="preserve">). « Nous allons devoir faire des choix difficiles et il sera plus facile de renoncer à certaines choses si nous sommes sûrs d’avoir accès aux capacités britanniques. Je cite les Britanniques car ils ont la même volonté politique, la même analyse géostratégique globale du monde que nous et des capacités équivalentes aux nôtres ». </w:t>
      </w:r>
      <w:r w:rsidRPr="00A32CCC">
        <w:rPr>
          <w:lang w:val="fr-BE"/>
        </w:rPr>
        <w:t>(Amiral Guillaud, audition, Assemblée nationale, Paris, 11 juillet 2012).</w:t>
      </w:r>
    </w:p>
  </w:footnote>
  <w:footnote w:id="47">
    <w:p w:rsidR="00B4237A" w:rsidRPr="00A32CCC" w:rsidRDefault="00B4237A" w:rsidP="00895141">
      <w:pPr>
        <w:jc w:val="both"/>
        <w:rPr>
          <w:lang w:val="fr-BE"/>
        </w:rPr>
      </w:pPr>
      <w:r>
        <w:rPr>
          <w:rStyle w:val="Caractresdenotedebasdepage"/>
        </w:rPr>
        <w:footnoteRef/>
      </w:r>
      <w:r w:rsidRPr="00895141">
        <w:rPr>
          <w:lang w:val="fr-BE"/>
        </w:rPr>
        <w:t xml:space="preserve"> </w:t>
      </w:r>
      <w:r w:rsidRPr="00895141">
        <w:rPr>
          <w:i/>
          <w:lang w:val="fr-BE"/>
        </w:rPr>
        <w:t>Cf</w:t>
      </w:r>
      <w:r w:rsidRPr="00895141">
        <w:rPr>
          <w:lang w:val="fr-BE"/>
        </w:rPr>
        <w:t xml:space="preserve">. diverses interventions au colloque sur « Quel format pour les armées françaises ? </w:t>
      </w:r>
      <w:r w:rsidRPr="00A32CCC">
        <w:rPr>
          <w:lang w:val="fr-BE"/>
        </w:rPr>
        <w:t>Avec quelle finalité ? », Club Participation et Progrès et Association Démocratie, Assemblée nationale, Paris, 26 novembre 2012.</w:t>
      </w:r>
    </w:p>
    <w:p w:rsidR="00B4237A" w:rsidRPr="00DA259E" w:rsidRDefault="00B4237A" w:rsidP="00DA259E">
      <w:pPr>
        <w:pStyle w:val="Notedebasdepage"/>
        <w:pageBreakBefore/>
        <w:rPr>
          <w:lang w:val="fr-BE"/>
        </w:rPr>
      </w:pPr>
    </w:p>
  </w:footnote>
  <w:footnote w:id="48">
    <w:p w:rsidR="00B4237A" w:rsidRPr="00DA259E" w:rsidRDefault="00B4237A" w:rsidP="00254A7B">
      <w:pPr>
        <w:jc w:val="both"/>
        <w:rPr>
          <w:lang w:val="fr-BE"/>
        </w:rPr>
      </w:pPr>
      <w:r>
        <w:rPr>
          <w:rStyle w:val="Caractresdenotedebasdepage"/>
        </w:rPr>
        <w:footnoteRef/>
      </w:r>
      <w:r w:rsidRPr="00254A7B">
        <w:rPr>
          <w:lang w:val="fr-BE"/>
        </w:rPr>
        <w:t xml:space="preserve"> Un résumé de 4 pages reprenant les grandes lignes du Livre blanc 2013 est accessible dans le dossier de presse officiel du 29 avril 2013. </w:t>
      </w:r>
      <w:r w:rsidRPr="00A32CCC">
        <w:rPr>
          <w:lang w:val="fr-BE"/>
        </w:rPr>
        <w:t>En outre, un dossier thématique de synthèse du Livre blanc 2013 incluant d’autres sujets transversaux fut distribué par le ministère de la Défense le même jour (</w:t>
      </w:r>
      <w:hyperlink r:id="rId9" w:history="1">
        <w:r w:rsidRPr="00A32CCC">
          <w:rPr>
            <w:rStyle w:val="Lienhypertexte"/>
            <w:lang w:val="fr-BE"/>
          </w:rPr>
          <w:t>www.elysee.fr</w:t>
        </w:r>
      </w:hyperlink>
      <w:r w:rsidRPr="00A32CCC">
        <w:rPr>
          <w:lang w:val="fr-BE"/>
        </w:rPr>
        <w:t xml:space="preserve"> ou </w:t>
      </w:r>
      <w:hyperlink r:id="rId10" w:history="1">
        <w:r w:rsidRPr="00A32CCC">
          <w:rPr>
            <w:rStyle w:val="Lienhypertexte"/>
            <w:lang w:val="fr-BE"/>
          </w:rPr>
          <w:t>www.gouvernement.fr</w:t>
        </w:r>
      </w:hyperlink>
      <w:r w:rsidRPr="00A32CCC">
        <w:rPr>
          <w:lang w:val="fr-BE"/>
        </w:rPr>
        <w:t>).</w:t>
      </w:r>
    </w:p>
  </w:footnote>
  <w:footnote w:id="49">
    <w:p w:rsidR="00B4237A" w:rsidRPr="00DA259E" w:rsidRDefault="00B4237A" w:rsidP="00254A7B">
      <w:pPr>
        <w:jc w:val="both"/>
        <w:rPr>
          <w:lang w:val="fr-BE"/>
        </w:rPr>
      </w:pPr>
      <w:r>
        <w:rPr>
          <w:rStyle w:val="Caractresdenotedebasdepage"/>
        </w:rPr>
        <w:footnoteRef/>
      </w:r>
      <w:r w:rsidRPr="00A32CCC">
        <w:rPr>
          <w:lang w:val="fr-BE"/>
        </w:rPr>
        <w:t xml:space="preserve"> </w:t>
      </w:r>
      <w:r w:rsidRPr="00A32CCC">
        <w:rPr>
          <w:i/>
          <w:lang w:val="fr-BE"/>
        </w:rPr>
        <w:t>Livre blanc. Défense et sécurité nationale 2013</w:t>
      </w:r>
      <w:r w:rsidRPr="00A32CCC">
        <w:rPr>
          <w:lang w:val="fr-BE"/>
        </w:rPr>
        <w:t>, Direction de l’information légale et administrative, Paris, 2013, pp. 8-9 (préface et introduction).</w:t>
      </w:r>
    </w:p>
  </w:footnote>
  <w:footnote w:id="50">
    <w:p w:rsidR="00B4237A" w:rsidRPr="00DA259E" w:rsidRDefault="00B4237A" w:rsidP="00254A7B">
      <w:pPr>
        <w:jc w:val="both"/>
        <w:rPr>
          <w:lang w:val="fr-BE"/>
        </w:rPr>
      </w:pPr>
      <w:r>
        <w:rPr>
          <w:rStyle w:val="Caractresdenotedebasdepage"/>
        </w:rPr>
        <w:footnoteRef/>
      </w:r>
      <w:r w:rsidRPr="00254A7B">
        <w:rPr>
          <w:lang w:val="fr-BE"/>
        </w:rPr>
        <w:t xml:space="preserve"> Francis Delon, « Le Livre blanc français sur la défense et la sécurité nationale 2013 : une contribution au Conseil européen sur la défense ? », Intervention, Séminaire IHEDN et Institut Egmont, Bruxelles, 14 juin 2013.</w:t>
      </w:r>
    </w:p>
  </w:footnote>
  <w:footnote w:id="51">
    <w:p w:rsidR="00B4237A" w:rsidRPr="00254A7B" w:rsidRDefault="00B4237A" w:rsidP="00254A7B">
      <w:pPr>
        <w:rPr>
          <w:lang w:val="fr-BE"/>
        </w:rPr>
      </w:pPr>
      <w:r>
        <w:rPr>
          <w:rStyle w:val="Caractresdenotedebasdepage"/>
        </w:rPr>
        <w:footnoteRef/>
      </w:r>
      <w:r w:rsidRPr="00254A7B">
        <w:rPr>
          <w:lang w:val="fr-BE"/>
        </w:rPr>
        <w:t xml:space="preserve"> Titre du sous-chapitre 1 : « La France dans le nouveau paysage stratégique ».</w:t>
      </w:r>
    </w:p>
    <w:p w:rsidR="00B4237A" w:rsidRPr="00DA259E" w:rsidRDefault="00B4237A" w:rsidP="00DA259E">
      <w:pPr>
        <w:pStyle w:val="Notedebasdepage"/>
        <w:pageBreakBefore/>
        <w:rPr>
          <w:lang w:val="fr-BE"/>
        </w:rPr>
      </w:pPr>
    </w:p>
  </w:footnote>
  <w:footnote w:id="52">
    <w:p w:rsidR="00A55FDC" w:rsidRPr="00A55FDC" w:rsidRDefault="00A55FDC">
      <w:pPr>
        <w:pStyle w:val="Notedebasdepage"/>
        <w:rPr>
          <w:lang w:val="fr-BE"/>
        </w:rPr>
      </w:pPr>
      <w:r>
        <w:rPr>
          <w:rStyle w:val="Appelnotedebasdep"/>
        </w:rPr>
        <w:footnoteRef/>
      </w:r>
      <w:r w:rsidRPr="00A55FDC">
        <w:rPr>
          <w:lang w:val="fr-BE"/>
        </w:rPr>
        <w:t xml:space="preserve"> </w:t>
      </w:r>
      <w:r>
        <w:rPr>
          <w:lang w:val="fr-BE"/>
        </w:rPr>
        <w:t>Les mots soulignés dans le présent focus le sont par nous (NDLR).</w:t>
      </w:r>
    </w:p>
  </w:footnote>
  <w:footnote w:id="53">
    <w:p w:rsidR="00B4237A" w:rsidRPr="00DA259E" w:rsidRDefault="00B4237A" w:rsidP="00254A7B">
      <w:pPr>
        <w:rPr>
          <w:lang w:val="fr-BE"/>
        </w:rPr>
      </w:pPr>
      <w:r>
        <w:rPr>
          <w:rStyle w:val="Caractresdenotedebasdepage"/>
        </w:rPr>
        <w:footnoteRef/>
      </w:r>
      <w:r w:rsidRPr="00254A7B">
        <w:rPr>
          <w:lang w:val="fr-BE"/>
        </w:rPr>
        <w:t xml:space="preserve"> Nonobstant la création d’un commandement américain spécialisé, l’AFRICOM.</w:t>
      </w:r>
    </w:p>
  </w:footnote>
  <w:footnote w:id="54">
    <w:p w:rsidR="00B4237A" w:rsidRPr="00DA259E" w:rsidRDefault="00B4237A" w:rsidP="00A915A0">
      <w:pPr>
        <w:jc w:val="both"/>
        <w:rPr>
          <w:lang w:val="fr-BE"/>
        </w:rPr>
      </w:pPr>
      <w:r>
        <w:rPr>
          <w:rStyle w:val="Caractresdenotedebasdepage"/>
        </w:rPr>
        <w:footnoteRef/>
      </w:r>
      <w:r w:rsidRPr="00A915A0">
        <w:rPr>
          <w:lang w:val="fr-BE"/>
        </w:rPr>
        <w:t xml:space="preserve"> </w:t>
      </w:r>
      <w:r w:rsidRPr="00A915A0">
        <w:rPr>
          <w:i/>
          <w:lang w:val="fr-BE"/>
        </w:rPr>
        <w:t xml:space="preserve">Cf. </w:t>
      </w:r>
      <w:r w:rsidRPr="00A915A0">
        <w:rPr>
          <w:lang w:val="fr-BE"/>
        </w:rPr>
        <w:t xml:space="preserve">Bastien </w:t>
      </w:r>
      <w:proofErr w:type="spellStart"/>
      <w:r w:rsidRPr="00A915A0">
        <w:rPr>
          <w:lang w:val="fr-BE"/>
        </w:rPr>
        <w:t>Irondelle</w:t>
      </w:r>
      <w:proofErr w:type="spellEnd"/>
      <w:r w:rsidRPr="00A915A0">
        <w:rPr>
          <w:lang w:val="fr-BE"/>
        </w:rPr>
        <w:t xml:space="preserve"> et autres, </w:t>
      </w:r>
      <w:r w:rsidRPr="00A915A0">
        <w:rPr>
          <w:i/>
          <w:lang w:val="fr-BE"/>
        </w:rPr>
        <w:t xml:space="preserve">Évolution du contrôle parlementaire des forces armées en Europe, </w:t>
      </w:r>
      <w:r w:rsidRPr="00A915A0">
        <w:rPr>
          <w:lang w:val="fr-BE"/>
        </w:rPr>
        <w:t xml:space="preserve">Études de l’IRSEM, n°22, Paris, 2012 ; Marietta </w:t>
      </w:r>
      <w:proofErr w:type="spellStart"/>
      <w:r w:rsidRPr="00A915A0">
        <w:rPr>
          <w:lang w:val="fr-BE"/>
        </w:rPr>
        <w:t>Karamanli</w:t>
      </w:r>
      <w:proofErr w:type="spellEnd"/>
      <w:r w:rsidRPr="00A915A0">
        <w:rPr>
          <w:lang w:val="fr-BE"/>
        </w:rPr>
        <w:t xml:space="preserve"> et Hendrik </w:t>
      </w:r>
      <w:proofErr w:type="spellStart"/>
      <w:r w:rsidRPr="00A915A0">
        <w:rPr>
          <w:lang w:val="fr-BE"/>
        </w:rPr>
        <w:t>Daems</w:t>
      </w:r>
      <w:proofErr w:type="spellEnd"/>
      <w:r w:rsidRPr="00A915A0">
        <w:rPr>
          <w:lang w:val="fr-BE"/>
        </w:rPr>
        <w:t xml:space="preserve">, </w:t>
      </w:r>
      <w:r w:rsidRPr="00A915A0">
        <w:rPr>
          <w:i/>
          <w:lang w:val="fr-BE"/>
        </w:rPr>
        <w:t>Le suivi de la PSDC dans les parlements nationaux et au Parlement européen – Réponse au rapport annuel du Conseil</w:t>
      </w:r>
      <w:r w:rsidRPr="00A915A0">
        <w:rPr>
          <w:lang w:val="fr-BE"/>
        </w:rPr>
        <w:t>, Assemblée de l’Union de l’Europe occidentale, document C/2069, Paris, 18 mai 2010 ; Conférence interparlementaire sur la politique étrangère et de sécurité commune (PESC) et sur la politique européenne de sécurité et de défense (PSDC), Dublin, 24-26 mars 2013.</w:t>
      </w:r>
    </w:p>
  </w:footnote>
  <w:footnote w:id="55">
    <w:p w:rsidR="00B4237A" w:rsidRPr="00DA259E" w:rsidRDefault="00B4237A" w:rsidP="00A915A0">
      <w:pPr>
        <w:rPr>
          <w:lang w:val="fr-BE"/>
        </w:rPr>
      </w:pPr>
      <w:r>
        <w:rPr>
          <w:rStyle w:val="Caractresdenotedebasdepage"/>
        </w:rPr>
        <w:footnoteRef/>
      </w:r>
      <w:r w:rsidRPr="00A915A0">
        <w:rPr>
          <w:lang w:val="fr-BE"/>
        </w:rPr>
        <w:t xml:space="preserve"> À savoir le renseignement, la surveillance, le ravitaillement en vol, le transport stratégique, etc.</w:t>
      </w:r>
    </w:p>
  </w:footnote>
  <w:footnote w:id="56">
    <w:p w:rsidR="00B4237A" w:rsidRPr="00DA259E" w:rsidRDefault="00B4237A" w:rsidP="00A915A0">
      <w:pPr>
        <w:jc w:val="both"/>
        <w:rPr>
          <w:lang w:val="fr-BE"/>
        </w:rPr>
      </w:pPr>
      <w:r>
        <w:rPr>
          <w:rStyle w:val="Caractresdenotedebasdepage"/>
        </w:rPr>
        <w:footnoteRef/>
      </w:r>
      <w:r w:rsidRPr="00A915A0">
        <w:rPr>
          <w:lang w:val="fr-BE"/>
        </w:rPr>
        <w:t xml:space="preserve"> Ce concept, fruit des engagements français en Libye et au Mali, sera cité plusieurs fois dans l’ouvrage. </w:t>
      </w:r>
      <w:r w:rsidRPr="00A32CCC">
        <w:rPr>
          <w:lang w:val="fr-BE"/>
        </w:rPr>
        <w:t>Nous pouvons penser que la force interarmées de réaction immédiate (FIRI) telle que définie dans le Livre blanc 2013 (p. 91) participera de cet ensemble capacitaire.</w:t>
      </w:r>
    </w:p>
  </w:footnote>
  <w:footnote w:id="57">
    <w:p w:rsidR="00B4237A" w:rsidRPr="00DA259E" w:rsidRDefault="00B4237A" w:rsidP="00A915A0">
      <w:pPr>
        <w:jc w:val="both"/>
        <w:rPr>
          <w:lang w:val="fr-BE"/>
        </w:rPr>
      </w:pPr>
      <w:r>
        <w:rPr>
          <w:rStyle w:val="Caractresdenotedebasdepage"/>
        </w:rPr>
        <w:footnoteRef/>
      </w:r>
      <w:r w:rsidRPr="00A915A0">
        <w:rPr>
          <w:lang w:val="fr-BE"/>
        </w:rPr>
        <w:t xml:space="preserve"> Dans ce cadre, on cite le renforcement des deux brigades françaises par des brigades alliées pouvant constituer une division type OTAN, dont la France pourra assurer le commandement. </w:t>
      </w:r>
      <w:r w:rsidRPr="00A32CCC">
        <w:rPr>
          <w:lang w:val="fr-BE"/>
        </w:rPr>
        <w:t>On donne aussi l’exemple de la capacité aéronavale dont la permanence «</w:t>
      </w:r>
      <w:r w:rsidRPr="00A32CCC">
        <w:rPr>
          <w:i/>
          <w:lang w:val="fr-BE"/>
        </w:rPr>
        <w:t> pourra s’inscrire dans le cadre de la force intégrée franco-britannique prévue par les Accords de Lancaster House</w:t>
      </w:r>
      <w:r w:rsidRPr="00A32CCC">
        <w:rPr>
          <w:lang w:val="fr-BE"/>
        </w:rPr>
        <w:t> » (p. 93).</w:t>
      </w:r>
    </w:p>
  </w:footnote>
  <w:footnote w:id="58">
    <w:p w:rsidR="00B4237A" w:rsidRPr="00DA259E" w:rsidRDefault="00B4237A" w:rsidP="00A915A0">
      <w:pPr>
        <w:jc w:val="both"/>
        <w:rPr>
          <w:lang w:val="fr-BE"/>
        </w:rPr>
      </w:pPr>
      <w:r>
        <w:rPr>
          <w:rStyle w:val="Caractresdenotedebasdepage"/>
        </w:rPr>
        <w:footnoteRef/>
      </w:r>
      <w:r w:rsidRPr="00A915A0">
        <w:rPr>
          <w:lang w:val="fr-BE"/>
        </w:rPr>
        <w:t xml:space="preserve"> Le Livre blanc 2013 cite l’observation spatiale, le transport aérien, le ravitaillement en vol, la surveillance des théâtres d’opérations et la logistique dans les zones de crise (p. 90). </w:t>
      </w:r>
      <w:r w:rsidRPr="00A32CCC">
        <w:rPr>
          <w:lang w:val="fr-BE"/>
        </w:rPr>
        <w:t>Il précise quatre pages plus loin que  la mutualisation du renseignement d’origine satellitaire sera proposée aux partenaires européens, de même que la capacité à déployer et à exploiter les drones de surveillance.</w:t>
      </w:r>
    </w:p>
  </w:footnote>
  <w:footnote w:id="59">
    <w:p w:rsidR="00B4237A" w:rsidRPr="00DA259E" w:rsidRDefault="00B4237A" w:rsidP="00A915A0">
      <w:pPr>
        <w:jc w:val="both"/>
        <w:rPr>
          <w:lang w:val="fr-BE"/>
        </w:rPr>
      </w:pPr>
      <w:r>
        <w:rPr>
          <w:rStyle w:val="Caractresdenotedebasdepage"/>
        </w:rPr>
        <w:footnoteRef/>
      </w:r>
      <w:r w:rsidRPr="00A32CCC">
        <w:rPr>
          <w:lang w:val="fr-BE"/>
        </w:rPr>
        <w:t xml:space="preserve"> </w:t>
      </w:r>
      <w:r w:rsidRPr="00A32CCC">
        <w:rPr>
          <w:i/>
          <w:lang w:val="fr-BE"/>
        </w:rPr>
        <w:t>Cf</w:t>
      </w:r>
      <w:r w:rsidRPr="00A32CCC">
        <w:rPr>
          <w:lang w:val="fr-BE"/>
        </w:rPr>
        <w:t xml:space="preserve">. Maritimisation. Quelles conséquences stratégiques pour la France ?, </w:t>
      </w:r>
      <w:r w:rsidRPr="00A32CCC">
        <w:rPr>
          <w:i/>
          <w:lang w:val="fr-BE"/>
        </w:rPr>
        <w:t>DSI</w:t>
      </w:r>
      <w:r w:rsidRPr="00A32CCC">
        <w:rPr>
          <w:lang w:val="fr-BE"/>
        </w:rPr>
        <w:t xml:space="preserve"> hors série 25, Areion, Paris, août-septembre 2012.</w:t>
      </w:r>
    </w:p>
  </w:footnote>
  <w:footnote w:id="60">
    <w:p w:rsidR="00B4237A" w:rsidRPr="00DA259E" w:rsidRDefault="00B4237A" w:rsidP="006554CC">
      <w:pPr>
        <w:jc w:val="both"/>
        <w:rPr>
          <w:lang w:val="fr-BE"/>
        </w:rPr>
      </w:pPr>
      <w:r>
        <w:rPr>
          <w:rStyle w:val="Caractresdenotedebasdepage"/>
        </w:rPr>
        <w:footnoteRef/>
      </w:r>
      <w:r w:rsidRPr="00DA259E">
        <w:rPr>
          <w:lang w:val="fr-BE"/>
        </w:rPr>
        <w:t xml:space="preserve"> André Dumoulin, « </w:t>
      </w:r>
      <w:r w:rsidRPr="00DA259E">
        <w:rPr>
          <w:rFonts w:eastAsia="Calibri"/>
          <w:lang w:val="fr-BE"/>
        </w:rPr>
        <w:t>De l’interprétation des articles des conditions de solidarité dans l’épreuve face à une agression territoriale dans les champs historiques et présents : les cas de l’Union de l’Europe occidentale,</w:t>
      </w:r>
      <w:r w:rsidRPr="00DA259E">
        <w:rPr>
          <w:rFonts w:eastAsia="Calibri"/>
          <w:b/>
          <w:lang w:val="fr-BE"/>
        </w:rPr>
        <w:t xml:space="preserve"> </w:t>
      </w:r>
      <w:r w:rsidRPr="00DA259E">
        <w:rPr>
          <w:rFonts w:eastAsia="Calibri"/>
          <w:lang w:val="fr-BE"/>
        </w:rPr>
        <w:t>de la PSDC de l’Union et de l’OTAN</w:t>
      </w:r>
      <w:r w:rsidRPr="00DA259E">
        <w:rPr>
          <w:lang w:val="fr-BE"/>
        </w:rPr>
        <w:t xml:space="preserve">. </w:t>
      </w:r>
      <w:r w:rsidRPr="00DA259E">
        <w:rPr>
          <w:rFonts w:eastAsia="Calibri"/>
          <w:lang w:val="fr-BE"/>
        </w:rPr>
        <w:t>Examen des dimensions stratégiques, politiques et juridiques de leurs interactions et évolutions entre 1949 et 2012 »</w:t>
      </w:r>
      <w:r w:rsidRPr="00DA259E">
        <w:rPr>
          <w:lang w:val="fr-BE"/>
        </w:rPr>
        <w:t xml:space="preserve"> </w:t>
      </w:r>
      <w:r w:rsidRPr="00DA259E">
        <w:rPr>
          <w:rFonts w:eastAsia="Calibri"/>
          <w:lang w:val="fr-BE"/>
        </w:rPr>
        <w:t>(Intervention lors du colloque international, 3</w:t>
      </w:r>
      <w:r w:rsidRPr="00DA259E">
        <w:rPr>
          <w:rFonts w:eastAsia="Calibri"/>
          <w:vertAlign w:val="superscript"/>
          <w:lang w:val="fr-BE"/>
        </w:rPr>
        <w:t>es</w:t>
      </w:r>
      <w:r w:rsidRPr="00DA259E">
        <w:rPr>
          <w:rFonts w:eastAsia="Calibri"/>
          <w:lang w:val="fr-BE"/>
        </w:rPr>
        <w:t xml:space="preserve"> journées d’études Frontières : « Espaces frontaliers. Zones de contact, zones de conflit ? », Université de Liège, 25-26 avril 2013)</w:t>
      </w:r>
      <w:r w:rsidRPr="00DA259E">
        <w:rPr>
          <w:lang w:val="fr-BE"/>
        </w:rPr>
        <w:t xml:space="preserve"> ; </w:t>
      </w:r>
      <w:r w:rsidRPr="00DA259E">
        <w:rPr>
          <w:rFonts w:eastAsia="Calibri"/>
          <w:lang w:val="fr-BE"/>
        </w:rPr>
        <w:t xml:space="preserve">Sara </w:t>
      </w:r>
      <w:r w:rsidRPr="00DA259E">
        <w:rPr>
          <w:lang w:val="fr-BE"/>
        </w:rPr>
        <w:t xml:space="preserve">Myrdal </w:t>
      </w:r>
      <w:r w:rsidRPr="00DA259E">
        <w:rPr>
          <w:rFonts w:eastAsia="Calibri"/>
          <w:lang w:val="fr-BE"/>
        </w:rPr>
        <w:t xml:space="preserve">et Mark </w:t>
      </w:r>
      <w:proofErr w:type="spellStart"/>
      <w:r w:rsidRPr="00DA259E">
        <w:rPr>
          <w:lang w:val="fr-BE"/>
        </w:rPr>
        <w:t>Rhinard</w:t>
      </w:r>
      <w:proofErr w:type="spellEnd"/>
      <w:r w:rsidRPr="00DA259E">
        <w:rPr>
          <w:rFonts w:eastAsia="Calibri"/>
          <w:lang w:val="fr-BE"/>
        </w:rPr>
        <w:t xml:space="preserve">, « The European </w:t>
      </w:r>
      <w:proofErr w:type="spellStart"/>
      <w:r w:rsidRPr="00DA259E">
        <w:rPr>
          <w:rFonts w:eastAsia="Calibri"/>
          <w:lang w:val="fr-BE"/>
        </w:rPr>
        <w:t>Union’s</w:t>
      </w:r>
      <w:proofErr w:type="spellEnd"/>
      <w:r w:rsidRPr="00DA259E">
        <w:rPr>
          <w:rFonts w:eastAsia="Calibri"/>
          <w:lang w:val="fr-BE"/>
        </w:rPr>
        <w:t xml:space="preserve"> </w:t>
      </w:r>
      <w:proofErr w:type="spellStart"/>
      <w:r w:rsidRPr="00DA259E">
        <w:rPr>
          <w:rFonts w:eastAsia="Calibri"/>
          <w:lang w:val="fr-BE"/>
        </w:rPr>
        <w:t>Solidarity</w:t>
      </w:r>
      <w:proofErr w:type="spellEnd"/>
      <w:r w:rsidRPr="00DA259E">
        <w:rPr>
          <w:rFonts w:eastAsia="Calibri"/>
          <w:lang w:val="fr-BE"/>
        </w:rPr>
        <w:t xml:space="preserve"> Clause: </w:t>
      </w:r>
      <w:proofErr w:type="spellStart"/>
      <w:r w:rsidRPr="00DA259E">
        <w:rPr>
          <w:rFonts w:eastAsia="Calibri"/>
          <w:lang w:val="fr-BE"/>
        </w:rPr>
        <w:t>Empty</w:t>
      </w:r>
      <w:proofErr w:type="spellEnd"/>
      <w:r w:rsidRPr="00DA259E">
        <w:rPr>
          <w:rFonts w:eastAsia="Calibri"/>
          <w:lang w:val="fr-BE"/>
        </w:rPr>
        <w:t xml:space="preserve"> </w:t>
      </w:r>
      <w:proofErr w:type="spellStart"/>
      <w:r w:rsidRPr="00DA259E">
        <w:rPr>
          <w:rFonts w:eastAsia="Calibri"/>
          <w:lang w:val="fr-BE"/>
        </w:rPr>
        <w:t>Letter</w:t>
      </w:r>
      <w:proofErr w:type="spellEnd"/>
      <w:r w:rsidRPr="00DA259E">
        <w:rPr>
          <w:rFonts w:eastAsia="Calibri"/>
          <w:lang w:val="fr-BE"/>
        </w:rPr>
        <w:t xml:space="preserve"> or Effective </w:t>
      </w:r>
      <w:proofErr w:type="spellStart"/>
      <w:r w:rsidRPr="00DA259E">
        <w:rPr>
          <w:rFonts w:eastAsia="Calibri"/>
          <w:lang w:val="fr-BE"/>
        </w:rPr>
        <w:t>Tool</w:t>
      </w:r>
      <w:proofErr w:type="spellEnd"/>
      <w:r w:rsidRPr="00DA259E">
        <w:rPr>
          <w:rFonts w:eastAsia="Calibri"/>
          <w:lang w:val="fr-BE"/>
        </w:rPr>
        <w:t xml:space="preserve">?”, in </w:t>
      </w:r>
      <w:r w:rsidRPr="00DA259E">
        <w:rPr>
          <w:rFonts w:eastAsia="Calibri"/>
          <w:i/>
          <w:lang w:val="fr-BE"/>
        </w:rPr>
        <w:t xml:space="preserve">UI </w:t>
      </w:r>
      <w:proofErr w:type="spellStart"/>
      <w:r w:rsidRPr="00DA259E">
        <w:rPr>
          <w:rFonts w:eastAsia="Calibri"/>
          <w:i/>
          <w:lang w:val="fr-BE"/>
        </w:rPr>
        <w:t>Occasional</w:t>
      </w:r>
      <w:proofErr w:type="spellEnd"/>
      <w:r w:rsidRPr="00DA259E">
        <w:rPr>
          <w:rFonts w:eastAsia="Calibri"/>
          <w:i/>
          <w:lang w:val="fr-BE"/>
        </w:rPr>
        <w:t xml:space="preserve"> </w:t>
      </w:r>
      <w:proofErr w:type="spellStart"/>
      <w:r w:rsidRPr="00DA259E">
        <w:rPr>
          <w:rFonts w:eastAsia="Calibri"/>
          <w:i/>
          <w:lang w:val="fr-BE"/>
        </w:rPr>
        <w:t>Papers</w:t>
      </w:r>
      <w:proofErr w:type="spellEnd"/>
      <w:r w:rsidRPr="00DA259E">
        <w:rPr>
          <w:rFonts w:eastAsia="Calibri"/>
          <w:lang w:val="fr-BE"/>
        </w:rPr>
        <w:t xml:space="preserve">, n°2, </w:t>
      </w:r>
      <w:proofErr w:type="spellStart"/>
      <w:r w:rsidRPr="00DA259E">
        <w:rPr>
          <w:rFonts w:eastAsia="Calibri"/>
          <w:lang w:val="fr-BE"/>
        </w:rPr>
        <w:t>Swedish</w:t>
      </w:r>
      <w:proofErr w:type="spellEnd"/>
      <w:r w:rsidRPr="00DA259E">
        <w:rPr>
          <w:rFonts w:eastAsia="Calibri"/>
          <w:lang w:val="fr-BE"/>
        </w:rPr>
        <w:t xml:space="preserve"> Institute of International </w:t>
      </w:r>
      <w:proofErr w:type="spellStart"/>
      <w:r w:rsidRPr="00DA259E">
        <w:rPr>
          <w:rFonts w:eastAsia="Calibri"/>
          <w:lang w:val="fr-BE"/>
        </w:rPr>
        <w:t>Affairs</w:t>
      </w:r>
      <w:proofErr w:type="spellEnd"/>
      <w:r w:rsidRPr="00DA259E">
        <w:rPr>
          <w:rFonts w:eastAsia="Calibri"/>
          <w:lang w:val="fr-BE"/>
        </w:rPr>
        <w:t>, Stockholm, 2010</w:t>
      </w:r>
      <w:r w:rsidRPr="00DA259E">
        <w:rPr>
          <w:lang w:val="fr-BE"/>
        </w:rPr>
        <w:t xml:space="preserve"> ; </w:t>
      </w:r>
      <w:r w:rsidRPr="00DA259E">
        <w:rPr>
          <w:rFonts w:eastAsia="Calibri"/>
          <w:lang w:val="fr-BE"/>
        </w:rPr>
        <w:t xml:space="preserve">Ioan </w:t>
      </w:r>
      <w:r w:rsidRPr="00DA259E">
        <w:rPr>
          <w:lang w:val="fr-BE"/>
        </w:rPr>
        <w:t>Mircea Pascu</w:t>
      </w:r>
      <w:r w:rsidRPr="00DA259E">
        <w:rPr>
          <w:rFonts w:eastAsia="Calibri"/>
          <w:lang w:val="fr-BE"/>
        </w:rPr>
        <w:t xml:space="preserve">, </w:t>
      </w:r>
      <w:r w:rsidRPr="00DA259E">
        <w:rPr>
          <w:rFonts w:eastAsia="Calibri"/>
          <w:i/>
          <w:lang w:val="fr-BE"/>
        </w:rPr>
        <w:t xml:space="preserve">Les clauses de défense mutuelle et de solidarité de </w:t>
      </w:r>
      <w:r>
        <w:rPr>
          <w:rFonts w:eastAsia="Calibri"/>
          <w:i/>
          <w:lang w:val="fr-BE"/>
        </w:rPr>
        <w:t>l</w:t>
      </w:r>
      <w:r w:rsidRPr="00DA259E">
        <w:rPr>
          <w:rFonts w:eastAsia="Calibri"/>
          <w:i/>
          <w:lang w:val="fr-BE"/>
        </w:rPr>
        <w:t>’Union européenne : dimensions politique et opérationnelle</w:t>
      </w:r>
      <w:r w:rsidRPr="00DA259E">
        <w:rPr>
          <w:rFonts w:eastAsia="Calibri"/>
          <w:lang w:val="fr-BE"/>
        </w:rPr>
        <w:t>, rapport A7-0356/2012, Parlement européen, Strasbourg, 22 novembre 2012</w:t>
      </w:r>
      <w:r w:rsidRPr="00DA259E">
        <w:rPr>
          <w:lang w:val="fr-BE"/>
        </w:rPr>
        <w:t xml:space="preserve"> ; </w:t>
      </w:r>
      <w:r w:rsidRPr="00DA259E">
        <w:rPr>
          <w:rFonts w:eastAsia="Calibri"/>
          <w:lang w:val="fr-BE"/>
        </w:rPr>
        <w:t xml:space="preserve">Council of the European Union, </w:t>
      </w:r>
      <w:r w:rsidRPr="00DA259E">
        <w:rPr>
          <w:rFonts w:eastAsia="Calibri"/>
          <w:i/>
          <w:lang w:val="fr-BE"/>
        </w:rPr>
        <w:t xml:space="preserve">Joint </w:t>
      </w:r>
      <w:proofErr w:type="spellStart"/>
      <w:r w:rsidRPr="00DA259E">
        <w:rPr>
          <w:rFonts w:eastAsia="Calibri"/>
          <w:i/>
          <w:lang w:val="fr-BE"/>
        </w:rPr>
        <w:t>proposal</w:t>
      </w:r>
      <w:proofErr w:type="spellEnd"/>
      <w:r w:rsidRPr="00DA259E">
        <w:rPr>
          <w:rFonts w:eastAsia="Calibri"/>
          <w:i/>
          <w:lang w:val="fr-BE"/>
        </w:rPr>
        <w:t xml:space="preserve"> for a Council </w:t>
      </w:r>
      <w:proofErr w:type="spellStart"/>
      <w:r w:rsidRPr="00DA259E">
        <w:rPr>
          <w:rFonts w:eastAsia="Calibri"/>
          <w:i/>
          <w:lang w:val="fr-BE"/>
        </w:rPr>
        <w:t>Decision</w:t>
      </w:r>
      <w:proofErr w:type="spellEnd"/>
      <w:r w:rsidRPr="00DA259E">
        <w:rPr>
          <w:rFonts w:eastAsia="Calibri"/>
          <w:i/>
          <w:lang w:val="fr-BE"/>
        </w:rPr>
        <w:t xml:space="preserve"> on the arrangements for the </w:t>
      </w:r>
      <w:proofErr w:type="spellStart"/>
      <w:r w:rsidRPr="00DA259E">
        <w:rPr>
          <w:rFonts w:eastAsia="Calibri"/>
          <w:i/>
          <w:lang w:val="fr-BE"/>
        </w:rPr>
        <w:t>implementation</w:t>
      </w:r>
      <w:proofErr w:type="spellEnd"/>
      <w:r w:rsidRPr="00DA259E">
        <w:rPr>
          <w:rFonts w:eastAsia="Calibri"/>
          <w:i/>
          <w:lang w:val="fr-BE"/>
        </w:rPr>
        <w:t xml:space="preserve"> by the Union of the </w:t>
      </w:r>
      <w:proofErr w:type="spellStart"/>
      <w:r w:rsidRPr="00DA259E">
        <w:rPr>
          <w:rFonts w:eastAsia="Calibri"/>
          <w:i/>
          <w:lang w:val="fr-BE"/>
        </w:rPr>
        <w:t>Solidarity</w:t>
      </w:r>
      <w:proofErr w:type="spellEnd"/>
      <w:r w:rsidRPr="00DA259E">
        <w:rPr>
          <w:rFonts w:eastAsia="Calibri"/>
          <w:i/>
          <w:lang w:val="fr-BE"/>
        </w:rPr>
        <w:t xml:space="preserve"> Clause</w:t>
      </w:r>
      <w:r w:rsidRPr="00DA259E">
        <w:rPr>
          <w:rFonts w:eastAsia="Calibri"/>
          <w:lang w:val="fr-BE"/>
        </w:rPr>
        <w:t xml:space="preserve">, Interinstitutional File: 2012/0370 (NLE), Brussels, 16 </w:t>
      </w:r>
      <w:proofErr w:type="spellStart"/>
      <w:r w:rsidRPr="00DA259E">
        <w:rPr>
          <w:rFonts w:eastAsia="Calibri"/>
          <w:lang w:val="fr-BE"/>
        </w:rPr>
        <w:t>January</w:t>
      </w:r>
      <w:proofErr w:type="spellEnd"/>
      <w:r w:rsidRPr="00DA259E">
        <w:rPr>
          <w:rFonts w:eastAsia="Calibri"/>
          <w:lang w:val="fr-BE"/>
        </w:rPr>
        <w:t xml:space="preserve"> 2013.</w:t>
      </w:r>
    </w:p>
  </w:footnote>
  <w:footnote w:id="61">
    <w:p w:rsidR="00B4237A" w:rsidRPr="00DA259E" w:rsidRDefault="00B4237A" w:rsidP="006554CC">
      <w:pPr>
        <w:jc w:val="both"/>
        <w:rPr>
          <w:lang w:val="fr-BE"/>
        </w:rPr>
      </w:pPr>
      <w:r>
        <w:rPr>
          <w:rStyle w:val="Caractresdenotedebasdepage"/>
        </w:rPr>
        <w:footnoteRef/>
      </w:r>
      <w:r w:rsidRPr="00A915A0">
        <w:rPr>
          <w:lang w:val="fr-BE"/>
        </w:rPr>
        <w:t xml:space="preserve">  </w:t>
      </w:r>
      <w:r>
        <w:rPr>
          <w:lang w:val="fr-BE"/>
        </w:rPr>
        <w:t xml:space="preserve"> À</w:t>
      </w:r>
      <w:r w:rsidRPr="00A915A0">
        <w:rPr>
          <w:lang w:val="fr-BE"/>
        </w:rPr>
        <w:t xml:space="preserve"> savoir : terrorisme, gestion de crise, continuité d’activité, NRBC-E, cybersécurité.</w:t>
      </w:r>
    </w:p>
  </w:footnote>
  <w:footnote w:id="62">
    <w:p w:rsidR="00B4237A" w:rsidRPr="00DA259E" w:rsidRDefault="00B4237A" w:rsidP="006554CC">
      <w:pPr>
        <w:jc w:val="both"/>
        <w:rPr>
          <w:lang w:val="fr-BE"/>
        </w:rPr>
      </w:pPr>
      <w:r>
        <w:rPr>
          <w:rStyle w:val="Caractresdenotedebasdepage"/>
        </w:rPr>
        <w:footnoteRef/>
      </w:r>
      <w:r w:rsidRPr="00DA259E">
        <w:rPr>
          <w:lang w:val="fr-BE"/>
        </w:rPr>
        <w:t xml:space="preserve"> Au-delà de la coopération industrielle franco-britannique sur les missiles.</w:t>
      </w:r>
    </w:p>
  </w:footnote>
  <w:footnote w:id="63">
    <w:p w:rsidR="00B4237A" w:rsidRPr="00DA259E" w:rsidRDefault="00B4237A" w:rsidP="006554CC">
      <w:pPr>
        <w:jc w:val="both"/>
        <w:rPr>
          <w:lang w:val="fr-BE"/>
        </w:rPr>
      </w:pPr>
      <w:r>
        <w:rPr>
          <w:rStyle w:val="Caractresdenotedebasdepage"/>
        </w:rPr>
        <w:footnoteRef/>
      </w:r>
      <w:r w:rsidRPr="006554CC">
        <w:rPr>
          <w:lang w:val="fr-BE"/>
        </w:rPr>
        <w:t xml:space="preserve"> À propos de la question du lien entre la recherche d’une harmonisation européenne des programmations militaires nationales et le contenu d’un futur Livre blanc européen de la sécurité et de la défense, cf. André Dumoulin, « Vers un Livre blanc européen de la sécurité et de la défense : entre </w:t>
      </w:r>
      <w:r>
        <w:rPr>
          <w:lang w:val="fr-BE"/>
        </w:rPr>
        <w:t>“</w:t>
      </w:r>
      <w:r w:rsidRPr="006554CC">
        <w:rPr>
          <w:lang w:val="fr-BE"/>
        </w:rPr>
        <w:t>objet non identifié</w:t>
      </w:r>
      <w:r>
        <w:rPr>
          <w:lang w:val="fr-BE"/>
        </w:rPr>
        <w:t>”</w:t>
      </w:r>
      <w:r w:rsidRPr="006554CC">
        <w:rPr>
          <w:lang w:val="fr-BE"/>
        </w:rPr>
        <w:t xml:space="preserve"> et fenêtre d’opportunité », dans </w:t>
      </w:r>
      <w:r w:rsidRPr="006554CC">
        <w:rPr>
          <w:i/>
          <w:lang w:val="fr-BE"/>
        </w:rPr>
        <w:t>La Revue internationale et stratégique</w:t>
      </w:r>
      <w:r w:rsidRPr="006554CC">
        <w:rPr>
          <w:lang w:val="fr-BE"/>
        </w:rPr>
        <w:t xml:space="preserve"> n°82, IRIS, Paris, été 2011, pp. 41 et sv.</w:t>
      </w:r>
    </w:p>
  </w:footnote>
  <w:footnote w:id="64">
    <w:p w:rsidR="00B4237A" w:rsidRPr="006554CC" w:rsidRDefault="00B4237A" w:rsidP="006554CC">
      <w:pPr>
        <w:jc w:val="both"/>
        <w:rPr>
          <w:lang w:val="fr-BE"/>
        </w:rPr>
      </w:pPr>
      <w:r>
        <w:rPr>
          <w:rStyle w:val="Caractresdenotedebasdepage"/>
        </w:rPr>
        <w:footnoteRef/>
      </w:r>
      <w:r w:rsidRPr="006554CC">
        <w:rPr>
          <w:lang w:val="fr-BE"/>
        </w:rPr>
        <w:t xml:space="preserve"> Pages 133 à 141.</w:t>
      </w:r>
    </w:p>
  </w:footnote>
  <w:footnote w:id="65">
    <w:p w:rsidR="00B4237A" w:rsidRPr="006554CC" w:rsidRDefault="00B4237A" w:rsidP="006554CC">
      <w:pPr>
        <w:jc w:val="both"/>
        <w:rPr>
          <w:lang w:val="fr-BE"/>
        </w:rPr>
      </w:pPr>
      <w:r>
        <w:rPr>
          <w:rStyle w:val="Caractresdenotedebasdepage"/>
        </w:rPr>
        <w:footnoteRef/>
      </w:r>
      <w:r w:rsidRPr="006554CC">
        <w:rPr>
          <w:lang w:val="fr-BE"/>
        </w:rPr>
        <w:t xml:space="preserve"> Extraits de phrases et mots soulignés par nous</w:t>
      </w:r>
      <w:r w:rsidR="00826FFA">
        <w:rPr>
          <w:lang w:val="fr-BE"/>
        </w:rPr>
        <w:t xml:space="preserve"> (NDLR)</w:t>
      </w:r>
      <w:r w:rsidRPr="006554CC">
        <w:rPr>
          <w:lang w:val="fr-BE"/>
        </w:rPr>
        <w:t>.</w:t>
      </w:r>
    </w:p>
  </w:footnote>
  <w:footnote w:id="66">
    <w:p w:rsidR="00826FFA" w:rsidRPr="00826FFA" w:rsidRDefault="00826FFA">
      <w:pPr>
        <w:pStyle w:val="Notedebasdepage"/>
        <w:rPr>
          <w:lang w:val="fr-BE"/>
        </w:rPr>
      </w:pPr>
      <w:r>
        <w:rPr>
          <w:rStyle w:val="Appelnotedebasdep"/>
        </w:rPr>
        <w:footnoteRef/>
      </w:r>
      <w:r w:rsidRPr="00826FFA">
        <w:rPr>
          <w:lang w:val="fr-BE"/>
        </w:rPr>
        <w:t xml:space="preserve"> </w:t>
      </w:r>
      <w:r>
        <w:rPr>
          <w:lang w:val="fr-BE"/>
        </w:rPr>
        <w:t>Les phrases en gras le sont dans le document officiel français.</w:t>
      </w:r>
    </w:p>
  </w:footnote>
  <w:footnote w:id="67">
    <w:p w:rsidR="00B4237A" w:rsidRPr="006554CC" w:rsidRDefault="00B4237A" w:rsidP="006554CC">
      <w:pPr>
        <w:jc w:val="both"/>
        <w:rPr>
          <w:lang w:val="fr-BE"/>
        </w:rPr>
      </w:pPr>
      <w:r>
        <w:rPr>
          <w:rStyle w:val="Caractresdenotedebasdepage"/>
        </w:rPr>
        <w:footnoteRef/>
      </w:r>
      <w:r w:rsidRPr="006554CC">
        <w:rPr>
          <w:lang w:val="fr-BE"/>
        </w:rPr>
        <w:t xml:space="preserve"> Camille Grand (FRS), Bilan de la défense française après le Livre blanc, vidéo séminaire, Laboratoire de recherche sur la Défense, IFRI, Paris, 27 juin 2013.</w:t>
      </w:r>
    </w:p>
  </w:footnote>
  <w:footnote w:id="68">
    <w:p w:rsidR="00B4237A" w:rsidRPr="006554CC" w:rsidRDefault="00B4237A" w:rsidP="006554CC">
      <w:pPr>
        <w:jc w:val="both"/>
        <w:rPr>
          <w:lang w:val="fr-BE"/>
        </w:rPr>
      </w:pPr>
      <w:r>
        <w:rPr>
          <w:rStyle w:val="Caractresdenotedebasdepage"/>
        </w:rPr>
        <w:footnoteRef/>
      </w:r>
      <w:r w:rsidRPr="006554CC">
        <w:rPr>
          <w:lang w:val="fr-BE"/>
        </w:rPr>
        <w:t xml:space="preserve"> </w:t>
      </w:r>
      <w:r w:rsidRPr="006554CC">
        <w:rPr>
          <w:i/>
          <w:lang w:val="fr-BE"/>
        </w:rPr>
        <w:t>Cf</w:t>
      </w:r>
      <w:r w:rsidRPr="006554CC">
        <w:rPr>
          <w:lang w:val="fr-BE"/>
        </w:rPr>
        <w:t xml:space="preserve">. intervention d’Etienne de Durand, « Le Livre blanc de défense français : quelles implications pour la défense européenne », conférence, Bruxelles, IFRI-Bruxelles, 30 mai 2013 ; Amiral Edouard Guillaud, entretien, « Une armée qui gagne », dans </w:t>
      </w:r>
      <w:r w:rsidRPr="006554CC">
        <w:rPr>
          <w:i/>
          <w:lang w:val="fr-BE"/>
        </w:rPr>
        <w:t>DSI</w:t>
      </w:r>
      <w:r w:rsidRPr="006554CC">
        <w:rPr>
          <w:lang w:val="fr-BE"/>
        </w:rPr>
        <w:t xml:space="preserve"> hors série n°31, « La France et sa défense. L’après-Livre blanc », Areion, Paris, août-septembre 2013, p. 19.</w:t>
      </w:r>
    </w:p>
  </w:footnote>
  <w:footnote w:id="69">
    <w:p w:rsidR="00B4237A" w:rsidRPr="006554CC" w:rsidRDefault="00B4237A" w:rsidP="006554CC">
      <w:pPr>
        <w:jc w:val="both"/>
        <w:rPr>
          <w:lang w:val="fr-BE"/>
        </w:rPr>
      </w:pPr>
      <w:r>
        <w:rPr>
          <w:rStyle w:val="Caractresdenotedebasdepage"/>
        </w:rPr>
        <w:footnoteRef/>
      </w:r>
      <w:r w:rsidRPr="006554CC">
        <w:rPr>
          <w:lang w:val="fr-BE"/>
        </w:rPr>
        <w:t xml:space="preserve"> Idem.</w:t>
      </w:r>
    </w:p>
  </w:footnote>
  <w:footnote w:id="70">
    <w:p w:rsidR="00B4237A" w:rsidRPr="006554CC" w:rsidRDefault="00B4237A" w:rsidP="006554CC">
      <w:pPr>
        <w:jc w:val="both"/>
        <w:rPr>
          <w:lang w:val="fr-BE"/>
        </w:rPr>
      </w:pPr>
      <w:r>
        <w:rPr>
          <w:rStyle w:val="Caractresdenotedebasdepage"/>
        </w:rPr>
        <w:footnoteRef/>
      </w:r>
      <w:r w:rsidRPr="006554CC">
        <w:rPr>
          <w:lang w:val="fr-BE"/>
        </w:rPr>
        <w:t xml:space="preserve"> Etienne de Durand (IFRI), Bilan de la défense française après le Livre blanc, vidéo séminaire, Laboratoire de recherche sur la Défense, IFRI, Paris, 27 juin 2013.</w:t>
      </w:r>
    </w:p>
  </w:footnote>
  <w:footnote w:id="71">
    <w:p w:rsidR="00B4237A" w:rsidRPr="006554CC" w:rsidRDefault="00B4237A" w:rsidP="006554CC">
      <w:pPr>
        <w:jc w:val="both"/>
        <w:rPr>
          <w:lang w:val="fr-BE"/>
        </w:rPr>
      </w:pPr>
      <w:r>
        <w:rPr>
          <w:rStyle w:val="Caractresdenotedebasdepage"/>
        </w:rPr>
        <w:footnoteRef/>
      </w:r>
      <w:r w:rsidRPr="006554CC">
        <w:rPr>
          <w:lang w:val="fr-BE"/>
        </w:rPr>
        <w:t xml:space="preserve"> Idem.</w:t>
      </w:r>
    </w:p>
  </w:footnote>
  <w:footnote w:id="72">
    <w:p w:rsidR="00B4237A" w:rsidRPr="006554CC" w:rsidRDefault="00B4237A" w:rsidP="006554CC">
      <w:pPr>
        <w:jc w:val="both"/>
        <w:rPr>
          <w:lang w:val="fr-BE"/>
        </w:rPr>
      </w:pPr>
      <w:r>
        <w:rPr>
          <w:rStyle w:val="Caractresdenotedebasdepage"/>
        </w:rPr>
        <w:footnoteRef/>
      </w:r>
      <w:r w:rsidRPr="006554CC">
        <w:rPr>
          <w:lang w:val="fr-BE"/>
        </w:rPr>
        <w:t xml:space="preserve"> Camille Grand, </w:t>
      </w:r>
      <w:r w:rsidRPr="006554CC">
        <w:rPr>
          <w:i/>
          <w:lang w:val="fr-BE"/>
        </w:rPr>
        <w:t xml:space="preserve">Op. </w:t>
      </w:r>
      <w:proofErr w:type="spellStart"/>
      <w:proofErr w:type="gramStart"/>
      <w:r w:rsidRPr="006554CC">
        <w:rPr>
          <w:i/>
          <w:lang w:val="fr-BE"/>
        </w:rPr>
        <w:t>cit</w:t>
      </w:r>
      <w:proofErr w:type="spellEnd"/>
      <w:proofErr w:type="gramEnd"/>
      <w:r w:rsidRPr="006554CC">
        <w:rPr>
          <w:lang w:val="fr-BE"/>
        </w:rPr>
        <w:t>.</w:t>
      </w:r>
    </w:p>
  </w:footnote>
  <w:footnote w:id="73">
    <w:p w:rsidR="00B4237A" w:rsidRPr="00DA259E" w:rsidRDefault="00B4237A" w:rsidP="006554CC">
      <w:pPr>
        <w:jc w:val="both"/>
        <w:rPr>
          <w:lang w:val="fr-BE"/>
        </w:rPr>
      </w:pPr>
      <w:r>
        <w:rPr>
          <w:rStyle w:val="Caractresdenotedebasdepage"/>
        </w:rPr>
        <w:footnoteRef/>
      </w:r>
      <w:r w:rsidRPr="006554CC">
        <w:rPr>
          <w:lang w:val="fr-BE"/>
        </w:rPr>
        <w:t xml:space="preserve"> Etienne de Durand, </w:t>
      </w:r>
      <w:r w:rsidRPr="006554CC">
        <w:rPr>
          <w:i/>
          <w:lang w:val="fr-BE"/>
        </w:rPr>
        <w:t xml:space="preserve">Op. </w:t>
      </w:r>
      <w:proofErr w:type="spellStart"/>
      <w:proofErr w:type="gramStart"/>
      <w:r w:rsidRPr="006554CC">
        <w:rPr>
          <w:i/>
          <w:lang w:val="fr-BE"/>
        </w:rPr>
        <w:t>cit</w:t>
      </w:r>
      <w:proofErr w:type="spellEnd"/>
      <w:proofErr w:type="gramEnd"/>
      <w:r w:rsidRPr="006554CC">
        <w:rPr>
          <w:lang w:val="fr-BE"/>
        </w:rPr>
        <w:t>.</w:t>
      </w:r>
    </w:p>
  </w:footnote>
  <w:footnote w:id="74">
    <w:p w:rsidR="00B4237A" w:rsidRPr="00DA259E" w:rsidRDefault="00B4237A" w:rsidP="006554CC">
      <w:pPr>
        <w:jc w:val="both"/>
        <w:rPr>
          <w:lang w:val="fr-BE"/>
        </w:rPr>
      </w:pPr>
      <w:r>
        <w:rPr>
          <w:rStyle w:val="Caractresdenotedebasdepage"/>
        </w:rPr>
        <w:footnoteRef/>
      </w:r>
      <w:r w:rsidRPr="006554CC">
        <w:rPr>
          <w:lang w:val="fr-BE"/>
        </w:rPr>
        <w:t xml:space="preserve"> </w:t>
      </w:r>
      <w:r w:rsidRPr="006554CC">
        <w:rPr>
          <w:i/>
          <w:lang w:val="fr-BE"/>
        </w:rPr>
        <w:t xml:space="preserve">Cf. </w:t>
      </w:r>
      <w:r w:rsidRPr="006554CC">
        <w:rPr>
          <w:lang w:val="fr-BE"/>
        </w:rPr>
        <w:t xml:space="preserve">aussi Joseph Henrotin, « Le Livre blanc du déclassement ? », dans </w:t>
      </w:r>
      <w:r w:rsidRPr="006554CC">
        <w:rPr>
          <w:i/>
          <w:lang w:val="fr-BE"/>
        </w:rPr>
        <w:t>DSI</w:t>
      </w:r>
      <w:r w:rsidRPr="006554CC">
        <w:rPr>
          <w:lang w:val="fr-BE"/>
        </w:rPr>
        <w:t xml:space="preserve">, Areion, Paris, juin 2013, pp. 40 et sv. ; Yves </w:t>
      </w:r>
      <w:proofErr w:type="spellStart"/>
      <w:r w:rsidRPr="006554CC">
        <w:rPr>
          <w:lang w:val="fr-BE"/>
        </w:rPr>
        <w:t>Fromion</w:t>
      </w:r>
      <w:proofErr w:type="spellEnd"/>
      <w:r w:rsidRPr="006554CC">
        <w:rPr>
          <w:lang w:val="fr-BE"/>
        </w:rPr>
        <w:t xml:space="preserve"> et </w:t>
      </w:r>
      <w:proofErr w:type="spellStart"/>
      <w:r w:rsidRPr="006554CC">
        <w:rPr>
          <w:lang w:val="fr-BE"/>
        </w:rPr>
        <w:t>Gwendal</w:t>
      </w:r>
      <w:proofErr w:type="spellEnd"/>
      <w:r w:rsidRPr="006554CC">
        <w:rPr>
          <w:lang w:val="fr-BE"/>
        </w:rPr>
        <w:t xml:space="preserve"> </w:t>
      </w:r>
      <w:proofErr w:type="spellStart"/>
      <w:r w:rsidRPr="006554CC">
        <w:rPr>
          <w:lang w:val="fr-BE"/>
        </w:rPr>
        <w:t>Rouillard</w:t>
      </w:r>
      <w:proofErr w:type="spellEnd"/>
      <w:r w:rsidRPr="006554CC">
        <w:rPr>
          <w:lang w:val="fr-BE"/>
        </w:rPr>
        <w:t xml:space="preserve">, </w:t>
      </w:r>
      <w:r w:rsidRPr="006554CC">
        <w:rPr>
          <w:i/>
          <w:lang w:val="fr-BE"/>
        </w:rPr>
        <w:t>Rapport d’information n°1233 relatif à une revue capacitaire des armées</w:t>
      </w:r>
      <w:r w:rsidRPr="006554CC">
        <w:rPr>
          <w:lang w:val="fr-BE"/>
        </w:rPr>
        <w:t>, Assemblée nationale, Paris, 10 juillet 2013.</w:t>
      </w:r>
    </w:p>
  </w:footnote>
  <w:footnote w:id="75">
    <w:p w:rsidR="00B4237A" w:rsidRPr="006554CC" w:rsidRDefault="00B4237A" w:rsidP="006554CC">
      <w:pPr>
        <w:jc w:val="both"/>
        <w:rPr>
          <w:lang w:val="fr-BE"/>
        </w:rPr>
      </w:pPr>
      <w:r>
        <w:rPr>
          <w:rStyle w:val="Caractresdenotedebasdepage"/>
        </w:rPr>
        <w:footnoteRef/>
      </w:r>
      <w:r w:rsidRPr="006554CC">
        <w:rPr>
          <w:lang w:val="fr-BE"/>
        </w:rPr>
        <w:t xml:space="preserve"> « La marine espère une quarantaine de Rafale et une quinzaine d’ATL 2 rénovés », </w:t>
      </w:r>
      <w:r w:rsidRPr="006554CC">
        <w:rPr>
          <w:i/>
          <w:lang w:val="fr-BE"/>
        </w:rPr>
        <w:t>Mer et Marine</w:t>
      </w:r>
      <w:r w:rsidRPr="006554CC">
        <w:rPr>
          <w:lang w:val="fr-BE"/>
        </w:rPr>
        <w:t>, 16 juillet 2013.</w:t>
      </w:r>
    </w:p>
  </w:footnote>
  <w:footnote w:id="76">
    <w:p w:rsidR="00B4237A" w:rsidRPr="00DA259E" w:rsidRDefault="00B4237A" w:rsidP="006554CC">
      <w:pPr>
        <w:jc w:val="both"/>
        <w:rPr>
          <w:lang w:val="fr-BE"/>
        </w:rPr>
      </w:pPr>
      <w:r>
        <w:rPr>
          <w:rStyle w:val="Caractresdenotedebasdepage"/>
        </w:rPr>
        <w:footnoteRef/>
      </w:r>
      <w:r w:rsidRPr="006554CC">
        <w:rPr>
          <w:lang w:val="fr-BE"/>
        </w:rPr>
        <w:t xml:space="preserve"> Comme l’indiquait déjà les sénateurs </w:t>
      </w:r>
      <w:proofErr w:type="spellStart"/>
      <w:r w:rsidRPr="006554CC">
        <w:rPr>
          <w:lang w:val="fr-BE"/>
        </w:rPr>
        <w:t>Reiner</w:t>
      </w:r>
      <w:proofErr w:type="spellEnd"/>
      <w:r w:rsidRPr="006554CC">
        <w:rPr>
          <w:lang w:val="fr-BE"/>
        </w:rPr>
        <w:t xml:space="preserve">, </w:t>
      </w:r>
      <w:proofErr w:type="spellStart"/>
      <w:r w:rsidRPr="006554CC">
        <w:rPr>
          <w:lang w:val="fr-BE"/>
        </w:rPr>
        <w:t>Pintat</w:t>
      </w:r>
      <w:proofErr w:type="spellEnd"/>
      <w:r w:rsidRPr="006554CC">
        <w:rPr>
          <w:lang w:val="fr-BE"/>
        </w:rPr>
        <w:t xml:space="preserve"> et Gautier dans </w:t>
      </w:r>
      <w:r w:rsidRPr="006554CC">
        <w:rPr>
          <w:i/>
          <w:lang w:val="fr-BE"/>
        </w:rPr>
        <w:t xml:space="preserve">Avis n°150. </w:t>
      </w:r>
      <w:r w:rsidRPr="00A32CCC">
        <w:rPr>
          <w:i/>
          <w:lang w:val="fr-BE"/>
        </w:rPr>
        <w:t>Tome VIII. Défense : équipement des forces</w:t>
      </w:r>
      <w:r w:rsidRPr="00A32CCC">
        <w:rPr>
          <w:lang w:val="fr-BE"/>
        </w:rPr>
        <w:t xml:space="preserve">, Sénat, Paris, 22 novembre 2012, pp. 7-9. </w:t>
      </w:r>
    </w:p>
  </w:footnote>
  <w:footnote w:id="77">
    <w:p w:rsidR="00B4237A" w:rsidRPr="00DA259E" w:rsidRDefault="00B4237A" w:rsidP="006554CC">
      <w:pPr>
        <w:jc w:val="both"/>
        <w:rPr>
          <w:lang w:val="fr-BE"/>
        </w:rPr>
      </w:pPr>
      <w:r>
        <w:rPr>
          <w:rStyle w:val="Caractresdenotedebasdepage"/>
        </w:rPr>
        <w:footnoteRef/>
      </w:r>
      <w:r w:rsidRPr="006554CC">
        <w:rPr>
          <w:lang w:val="fr-BE"/>
        </w:rPr>
        <w:t xml:space="preserve"> Francis Delon, « Le Livre blanc français sur la défense et la sécurité nationale 2013 : une contribution au Conseil européen sur la défense ? », Intervention, Séminaire IHEDN et Institut Egmont, Bruxelles, 14 juin 2013.</w:t>
      </w:r>
    </w:p>
  </w:footnote>
  <w:footnote w:id="78">
    <w:p w:rsidR="00B4237A" w:rsidRPr="00DA259E" w:rsidRDefault="00B4237A" w:rsidP="006554CC">
      <w:pPr>
        <w:jc w:val="both"/>
        <w:rPr>
          <w:lang w:val="fr-BE"/>
        </w:rPr>
      </w:pPr>
      <w:r>
        <w:rPr>
          <w:rStyle w:val="Caractresdenotedebasdepage"/>
        </w:rPr>
        <w:footnoteRef/>
      </w:r>
      <w:r w:rsidRPr="006554CC">
        <w:rPr>
          <w:lang w:val="fr-BE"/>
        </w:rPr>
        <w:t xml:space="preserve"> Benoist Bihan, « Le vide stratégique français à la lumière du livre blanc 2013 », dans </w:t>
      </w:r>
      <w:r w:rsidRPr="006554CC">
        <w:rPr>
          <w:i/>
          <w:lang w:val="fr-BE"/>
        </w:rPr>
        <w:t>DSI</w:t>
      </w:r>
      <w:r w:rsidRPr="006554CC">
        <w:rPr>
          <w:lang w:val="fr-BE"/>
        </w:rPr>
        <w:t>, Areion, Paris, juin 2013, pp. 30 et sv.</w:t>
      </w:r>
    </w:p>
  </w:footnote>
  <w:footnote w:id="79">
    <w:p w:rsidR="00B4237A" w:rsidRPr="00A32CCC" w:rsidRDefault="00B4237A" w:rsidP="006554CC">
      <w:pPr>
        <w:jc w:val="both"/>
        <w:rPr>
          <w:lang w:val="fr-BE"/>
        </w:rPr>
      </w:pPr>
      <w:r>
        <w:rPr>
          <w:rStyle w:val="Caractresdenotedebasdepage"/>
        </w:rPr>
        <w:footnoteRef/>
      </w:r>
      <w:r w:rsidRPr="00A32CCC">
        <w:rPr>
          <w:lang w:val="fr-BE"/>
        </w:rPr>
        <w:t xml:space="preserve"> Francis Delon, </w:t>
      </w:r>
      <w:r w:rsidRPr="00A32CCC">
        <w:rPr>
          <w:i/>
          <w:lang w:val="fr-BE"/>
        </w:rPr>
        <w:t xml:space="preserve">Op. </w:t>
      </w:r>
      <w:proofErr w:type="spellStart"/>
      <w:proofErr w:type="gramStart"/>
      <w:r w:rsidRPr="00A32CCC">
        <w:rPr>
          <w:i/>
          <w:lang w:val="fr-BE"/>
        </w:rPr>
        <w:t>cit</w:t>
      </w:r>
      <w:proofErr w:type="spellEnd"/>
      <w:proofErr w:type="gramEnd"/>
      <w:r w:rsidRPr="00A32CCC">
        <w:rPr>
          <w:lang w:val="fr-BE"/>
        </w:rPr>
        <w:t>.</w:t>
      </w:r>
    </w:p>
  </w:footnote>
  <w:footnote w:id="80">
    <w:p w:rsidR="00B4237A" w:rsidRPr="00A32CCC" w:rsidRDefault="00B4237A" w:rsidP="006554CC">
      <w:pPr>
        <w:jc w:val="both"/>
        <w:rPr>
          <w:lang w:val="fr-BE"/>
        </w:rPr>
      </w:pPr>
      <w:r>
        <w:rPr>
          <w:rStyle w:val="Caractresdenotedebasdepage"/>
        </w:rPr>
        <w:footnoteRef/>
      </w:r>
      <w:r w:rsidRPr="006554CC">
        <w:rPr>
          <w:lang w:val="fr-BE"/>
        </w:rPr>
        <w:t xml:space="preserve"> À savoir, d’une part, se contenter de formules générales sur l’évolution géostratégique et incantatoire sur la nécessité de collaborer et d’autre part, esquiver le débat de fond sur l’Europe de la défense et ses moyens en se focalisant sur l’actualité des crises immédiates (Francis Delon, </w:t>
      </w:r>
      <w:proofErr w:type="spellStart"/>
      <w:r w:rsidRPr="006554CC">
        <w:rPr>
          <w:i/>
          <w:lang w:val="fr-BE"/>
        </w:rPr>
        <w:t>Ibid</w:t>
      </w:r>
      <w:proofErr w:type="spellEnd"/>
      <w:r w:rsidRPr="006554CC">
        <w:rPr>
          <w:lang w:val="fr-BE"/>
        </w:rPr>
        <w:t>).</w:t>
      </w:r>
    </w:p>
  </w:footnote>
  <w:footnote w:id="81">
    <w:p w:rsidR="00B4237A" w:rsidRPr="006554CC" w:rsidRDefault="00B4237A" w:rsidP="006554CC">
      <w:pPr>
        <w:jc w:val="both"/>
        <w:rPr>
          <w:lang w:val="fr-BE"/>
        </w:rPr>
      </w:pPr>
      <w:r>
        <w:rPr>
          <w:rStyle w:val="Caractresdenotedebasdepage"/>
        </w:rPr>
        <w:footnoteRef/>
      </w:r>
      <w:r w:rsidRPr="006554CC">
        <w:rPr>
          <w:lang w:val="fr-BE"/>
        </w:rPr>
        <w:t xml:space="preserve"> « Atlantiste », « calamiteux », le Livre blanc sur la défense s’attire des critiques », dans </w:t>
      </w:r>
      <w:r w:rsidRPr="006554CC">
        <w:rPr>
          <w:i/>
          <w:lang w:val="fr-BE"/>
        </w:rPr>
        <w:t>Le Monde</w:t>
      </w:r>
      <w:r w:rsidRPr="006554CC">
        <w:rPr>
          <w:lang w:val="fr-BE"/>
        </w:rPr>
        <w:t>, 29 avril 2013.</w:t>
      </w:r>
    </w:p>
  </w:footnote>
  <w:footnote w:id="82">
    <w:p w:rsidR="00B4237A" w:rsidRPr="006554CC" w:rsidRDefault="00B4237A" w:rsidP="006554CC">
      <w:pPr>
        <w:jc w:val="both"/>
        <w:rPr>
          <w:lang w:val="fr-BE"/>
        </w:rPr>
      </w:pPr>
      <w:r>
        <w:rPr>
          <w:rStyle w:val="Caractresdenotedebasdepage"/>
        </w:rPr>
        <w:footnoteRef/>
      </w:r>
      <w:r w:rsidRPr="006554CC">
        <w:rPr>
          <w:lang w:val="fr-BE"/>
        </w:rPr>
        <w:t xml:space="preserve"> Idem.</w:t>
      </w:r>
    </w:p>
  </w:footnote>
  <w:footnote w:id="83">
    <w:p w:rsidR="00B4237A" w:rsidRPr="00DA259E" w:rsidRDefault="00B4237A" w:rsidP="006554CC">
      <w:pPr>
        <w:jc w:val="both"/>
        <w:rPr>
          <w:lang w:val="fr-BE"/>
        </w:rPr>
      </w:pPr>
      <w:r>
        <w:rPr>
          <w:rStyle w:val="Caractresdenotedebasdepage"/>
        </w:rPr>
        <w:footnoteRef/>
      </w:r>
      <w:r w:rsidRPr="006554CC">
        <w:rPr>
          <w:lang w:val="fr-BE"/>
        </w:rPr>
        <w:t xml:space="preserve"> Le mot « souveraineté » revient très souvent dans le Livre blanc 2013. </w:t>
      </w:r>
      <w:r w:rsidRPr="00A32CCC">
        <w:rPr>
          <w:lang w:val="fr-BE"/>
        </w:rPr>
        <w:t xml:space="preserve">« Il subsiste donc une certaine tradition stratégique française, dans laquelle le nouveau Livre blanc de défense s’inscrit de plain-pied. Et sa dernière mouture d’insister sur </w:t>
      </w:r>
      <w:r>
        <w:rPr>
          <w:lang w:val="fr-BE"/>
        </w:rPr>
        <w:t>“</w:t>
      </w:r>
      <w:r w:rsidRPr="00A32CCC">
        <w:rPr>
          <w:lang w:val="fr-BE"/>
        </w:rPr>
        <w:t>l’autonomie stratégique</w:t>
      </w:r>
      <w:r>
        <w:rPr>
          <w:lang w:val="fr-BE"/>
        </w:rPr>
        <w:t>”</w:t>
      </w:r>
      <w:r w:rsidRPr="00A32CCC">
        <w:rPr>
          <w:lang w:val="fr-BE"/>
        </w:rPr>
        <w:t xml:space="preserve"> de la France, avatar contemporain de la souveraineté nationale et de </w:t>
      </w:r>
      <w:r>
        <w:rPr>
          <w:lang w:val="fr-BE"/>
        </w:rPr>
        <w:t>“</w:t>
      </w:r>
      <w:r w:rsidRPr="00A32CCC">
        <w:rPr>
          <w:lang w:val="fr-BE"/>
        </w:rPr>
        <w:t>l’indépendance militaire</w:t>
      </w:r>
      <w:r>
        <w:rPr>
          <w:lang w:val="fr-BE"/>
        </w:rPr>
        <w:t>”</w:t>
      </w:r>
      <w:r w:rsidRPr="00A32CCC">
        <w:rPr>
          <w:lang w:val="fr-BE"/>
        </w:rPr>
        <w:t xml:space="preserve"> de l’ère gaullienne ». (Olivier de France, « Livre blanc de la défense : surmonter la crise et la contrainte budgétaire », dans </w:t>
      </w:r>
      <w:r w:rsidRPr="00A32CCC">
        <w:rPr>
          <w:i/>
          <w:lang w:val="fr-BE"/>
        </w:rPr>
        <w:t>Le Monde</w:t>
      </w:r>
      <w:r w:rsidRPr="00A32CCC">
        <w:rPr>
          <w:lang w:val="fr-BE"/>
        </w:rPr>
        <w:t xml:space="preserve">, 6 mai 2013). À propos des dilemmes de souveraineté vus par les sénateurs français, </w:t>
      </w:r>
      <w:r w:rsidRPr="00A32CCC">
        <w:rPr>
          <w:i/>
          <w:lang w:val="fr-BE"/>
        </w:rPr>
        <w:t>cf</w:t>
      </w:r>
      <w:r w:rsidRPr="00A32CCC">
        <w:rPr>
          <w:lang w:val="fr-BE"/>
        </w:rPr>
        <w:t xml:space="preserve">. Daniel </w:t>
      </w:r>
      <w:proofErr w:type="spellStart"/>
      <w:r w:rsidRPr="00A32CCC">
        <w:rPr>
          <w:lang w:val="fr-BE"/>
        </w:rPr>
        <w:t>Reiner</w:t>
      </w:r>
      <w:proofErr w:type="spellEnd"/>
      <w:r w:rsidRPr="00A32CCC">
        <w:rPr>
          <w:lang w:val="fr-BE"/>
        </w:rPr>
        <w:t xml:space="preserve"> et autres, Rapport d’information n°713 sur « Quelle Europe, pour quelle défense ? », Sénat, Paris, 3 juillet 2013.</w:t>
      </w:r>
    </w:p>
  </w:footnote>
  <w:footnote w:id="84">
    <w:p w:rsidR="00B4237A" w:rsidRPr="006554CC" w:rsidRDefault="00B4237A" w:rsidP="006554CC">
      <w:pPr>
        <w:jc w:val="both"/>
        <w:rPr>
          <w:lang w:val="fr-BE"/>
        </w:rPr>
      </w:pPr>
      <w:r>
        <w:rPr>
          <w:rStyle w:val="Caractresdenotedebasdepage"/>
        </w:rPr>
        <w:footnoteRef/>
      </w:r>
      <w:r w:rsidRPr="006554CC">
        <w:rPr>
          <w:lang w:val="fr-BE"/>
        </w:rPr>
        <w:t xml:space="preserve"> Laurent Fabius, ministre français des Affaires étrangères, « Relance de la PSDC », Intervention devant les ambassadeurs polonais, Varsovie, 26 juillet 2012.</w:t>
      </w:r>
    </w:p>
  </w:footnote>
  <w:footnote w:id="85">
    <w:p w:rsidR="00B4237A" w:rsidRPr="006554CC" w:rsidRDefault="00B4237A" w:rsidP="006554CC">
      <w:pPr>
        <w:jc w:val="both"/>
        <w:rPr>
          <w:lang w:val="fr-BE"/>
        </w:rPr>
      </w:pPr>
      <w:r>
        <w:rPr>
          <w:rStyle w:val="Caractresdenotedebasdepage"/>
        </w:rPr>
        <w:footnoteRef/>
      </w:r>
      <w:r w:rsidRPr="006554CC">
        <w:rPr>
          <w:lang w:val="fr-BE"/>
        </w:rPr>
        <w:t xml:space="preserve"> Ibid.</w:t>
      </w:r>
    </w:p>
  </w:footnote>
  <w:footnote w:id="86">
    <w:p w:rsidR="00B4237A" w:rsidRPr="00DA259E" w:rsidRDefault="00B4237A" w:rsidP="006554CC">
      <w:pPr>
        <w:jc w:val="both"/>
        <w:rPr>
          <w:lang w:val="fr-BE"/>
        </w:rPr>
      </w:pPr>
      <w:r>
        <w:rPr>
          <w:rStyle w:val="Caractresdenotedebasdepage"/>
        </w:rPr>
        <w:footnoteRef/>
      </w:r>
      <w:r w:rsidRPr="006554CC">
        <w:rPr>
          <w:lang w:val="fr-BE"/>
        </w:rPr>
        <w:t xml:space="preserve"> Hubert Védrine, </w:t>
      </w:r>
      <w:r w:rsidRPr="006554CC">
        <w:rPr>
          <w:szCs w:val="24"/>
          <w:lang w:val="fr-BE"/>
        </w:rPr>
        <w:t>« Les conséquences du retour de la France dans le commandement militaire intégré de l’Organisation du Traité de l’Atlantique Nord, l’avenir de la relation transatlantique et les perspectives de l’Europe de la défense », rapport au Président de la République, Paris, 14 novembre 2012, p. 23.</w:t>
      </w:r>
    </w:p>
  </w:footnote>
  <w:footnote w:id="87">
    <w:p w:rsidR="00B4237A" w:rsidRPr="00DA259E" w:rsidRDefault="00B4237A" w:rsidP="006554CC">
      <w:pPr>
        <w:jc w:val="both"/>
        <w:rPr>
          <w:lang w:val="fr-BE"/>
        </w:rPr>
      </w:pPr>
      <w:r>
        <w:rPr>
          <w:rStyle w:val="Caractresdenotedebasdepage"/>
        </w:rPr>
        <w:footnoteRef/>
      </w:r>
      <w:r w:rsidRPr="006554CC">
        <w:rPr>
          <w:lang w:val="fr-BE"/>
        </w:rPr>
        <w:t xml:space="preserve"> « Il n’est pas surprenant d’entendre ses commentateurs indiquer que le véritable déterminant serait la prochaine loi de programmation militaire » (Joseph Henrotin, « De la durabilité de la puissance militaire française », </w:t>
      </w:r>
      <w:r w:rsidRPr="006554CC">
        <w:rPr>
          <w:i/>
          <w:lang w:val="fr-BE"/>
        </w:rPr>
        <w:t>Op .</w:t>
      </w:r>
      <w:proofErr w:type="spellStart"/>
      <w:r w:rsidRPr="006554CC">
        <w:rPr>
          <w:i/>
          <w:lang w:val="fr-BE"/>
        </w:rPr>
        <w:t>cit</w:t>
      </w:r>
      <w:proofErr w:type="spellEnd"/>
      <w:r w:rsidRPr="006554CC">
        <w:rPr>
          <w:i/>
          <w:lang w:val="fr-BE"/>
        </w:rPr>
        <w:t>.</w:t>
      </w:r>
      <w:r w:rsidRPr="006554CC">
        <w:rPr>
          <w:lang w:val="fr-BE"/>
        </w:rPr>
        <w:t xml:space="preserve"> p. 9).</w:t>
      </w:r>
    </w:p>
  </w:footnote>
  <w:footnote w:id="88">
    <w:p w:rsidR="000449D5" w:rsidRPr="00DA259E" w:rsidRDefault="000449D5" w:rsidP="000449D5">
      <w:pPr>
        <w:jc w:val="both"/>
        <w:rPr>
          <w:lang w:val="fr-BE"/>
        </w:rPr>
      </w:pPr>
      <w:r>
        <w:rPr>
          <w:rStyle w:val="Caractresdenotedebasdepage"/>
        </w:rPr>
        <w:footnoteRef/>
      </w:r>
      <w:r w:rsidRPr="006554CC">
        <w:rPr>
          <w:lang w:val="fr-BE"/>
        </w:rPr>
        <w:t xml:space="preserve"> Réponse du </w:t>
      </w:r>
      <w:r w:rsidRPr="006554CC">
        <w:rPr>
          <w:szCs w:val="24"/>
          <w:lang w:val="fr-BE"/>
        </w:rPr>
        <w:t>Premier ministre, Jean-François Ayrault, à une question d’actualité, Sénat, 28 mars 2013.</w:t>
      </w:r>
    </w:p>
  </w:footnote>
  <w:footnote w:id="89">
    <w:p w:rsidR="000449D5" w:rsidRPr="00DA259E" w:rsidRDefault="000449D5" w:rsidP="000449D5">
      <w:pPr>
        <w:jc w:val="both"/>
        <w:rPr>
          <w:lang w:val="fr-BE"/>
        </w:rPr>
      </w:pPr>
      <w:r>
        <w:rPr>
          <w:rStyle w:val="Caractresdenotedebasdepage"/>
        </w:rPr>
        <w:footnoteRef/>
      </w:r>
      <w:r w:rsidRPr="006554CC">
        <w:rPr>
          <w:lang w:val="fr-BE"/>
        </w:rPr>
        <w:t xml:space="preserve"> « La vieille opposition entre atlantistes et </w:t>
      </w:r>
      <w:r>
        <w:rPr>
          <w:lang w:val="fr-BE"/>
        </w:rPr>
        <w:t>“</w:t>
      </w:r>
      <w:r w:rsidRPr="006554CC">
        <w:rPr>
          <w:lang w:val="fr-BE"/>
        </w:rPr>
        <w:t>« européanistes</w:t>
      </w:r>
      <w:r>
        <w:rPr>
          <w:lang w:val="fr-BE"/>
        </w:rPr>
        <w:t>”</w:t>
      </w:r>
      <w:r w:rsidRPr="006554CC">
        <w:rPr>
          <w:lang w:val="fr-BE"/>
        </w:rPr>
        <w:t xml:space="preserve"> » a laissé la place aux divergences entre une minorité d’activistes (France, Royaume-Uni, pays nordiques qui ont la volonté mais de moins en moins les moyens) et une majorité de non-interventionnistes, soit par neutralisation/pacifisme, soit par focalisation sur les relations avec la Russie et la défense territoriale. ». </w:t>
      </w:r>
      <w:r w:rsidRPr="00A32CCC">
        <w:rPr>
          <w:lang w:val="fr-BE"/>
        </w:rPr>
        <w:t>(</w:t>
      </w:r>
      <w:r w:rsidRPr="00A32CCC">
        <w:rPr>
          <w:i/>
          <w:lang w:val="fr-BE"/>
        </w:rPr>
        <w:t>Rapport d’information n°680 sur le format et l’emploi des forces armées post 2014</w:t>
      </w:r>
      <w:r w:rsidRPr="00A32CCC">
        <w:rPr>
          <w:lang w:val="fr-BE"/>
        </w:rPr>
        <w:t xml:space="preserve">, Sénat, Paris, 18 juillet 2012). </w:t>
      </w:r>
      <w:r w:rsidRPr="00A32CCC">
        <w:rPr>
          <w:i/>
          <w:lang w:val="fr-BE"/>
        </w:rPr>
        <w:t>Cf</w:t>
      </w:r>
      <w:r w:rsidRPr="00A32CCC">
        <w:rPr>
          <w:lang w:val="fr-BE"/>
        </w:rPr>
        <w:t xml:space="preserve">. aussi Alexandre </w:t>
      </w:r>
      <w:proofErr w:type="spellStart"/>
      <w:r w:rsidRPr="00A32CCC">
        <w:rPr>
          <w:lang w:val="fr-BE"/>
        </w:rPr>
        <w:t>Negru</w:t>
      </w:r>
      <w:proofErr w:type="spellEnd"/>
      <w:r w:rsidRPr="00A32CCC">
        <w:rPr>
          <w:lang w:val="fr-BE"/>
        </w:rPr>
        <w:t xml:space="preserve">, « Budget de défense, le déclassement en perspective ? », dans </w:t>
      </w:r>
      <w:r w:rsidRPr="00A32CCC">
        <w:rPr>
          <w:i/>
          <w:lang w:val="fr-BE"/>
        </w:rPr>
        <w:t>Revue de Défense nationale</w:t>
      </w:r>
      <w:r w:rsidRPr="00A32CCC">
        <w:rPr>
          <w:lang w:val="fr-BE"/>
        </w:rPr>
        <w:t>, Paris, juin 2013.</w:t>
      </w:r>
    </w:p>
  </w:footnote>
  <w:footnote w:id="90">
    <w:p w:rsidR="000449D5" w:rsidRPr="00DA259E" w:rsidRDefault="000449D5" w:rsidP="000449D5">
      <w:pPr>
        <w:jc w:val="both"/>
        <w:rPr>
          <w:lang w:val="fr-BE"/>
        </w:rPr>
      </w:pPr>
      <w:r>
        <w:rPr>
          <w:rStyle w:val="Caractresdenotedebasdepage"/>
        </w:rPr>
        <w:footnoteRef/>
      </w:r>
      <w:r w:rsidRPr="006554CC">
        <w:rPr>
          <w:lang w:val="fr-BE"/>
        </w:rPr>
        <w:t xml:space="preserve"> </w:t>
      </w:r>
      <w:r w:rsidRPr="006554CC">
        <w:rPr>
          <w:i/>
          <w:lang w:val="fr-BE"/>
        </w:rPr>
        <w:t xml:space="preserve">Cf. </w:t>
      </w:r>
      <w:r w:rsidRPr="006554CC">
        <w:rPr>
          <w:lang w:val="fr-BE"/>
        </w:rPr>
        <w:t>à ce sujet les rapports de l’Assemblée nationale (n°256) et du Sénat (n°150) sur l’équipement des forces (respectivement 10 octobre 2012 et 22 novembre 2012).</w:t>
      </w:r>
    </w:p>
  </w:footnote>
  <w:footnote w:id="91">
    <w:p w:rsidR="000449D5" w:rsidRPr="006554CC" w:rsidRDefault="000449D5" w:rsidP="000449D5">
      <w:pPr>
        <w:jc w:val="both"/>
        <w:rPr>
          <w:lang w:val="fr-BE"/>
        </w:rPr>
      </w:pPr>
      <w:r>
        <w:rPr>
          <w:rStyle w:val="Caractresdenotedebasdepage"/>
        </w:rPr>
        <w:footnoteRef/>
      </w:r>
      <w:r w:rsidRPr="006554CC">
        <w:rPr>
          <w:lang w:val="fr-BE"/>
        </w:rPr>
        <w:t xml:space="preserve"> Nous pouvons relever des différences de perception entre d’une part le ministre de la Défense, Jean-Yves Le Drian, qui défend l’idée d’une actualisation de la Stratégie européenne de sécurité pour fixer une doctrine commune sur les intérêts et les objectifs en matière de sécurité et de défense (entretien dans </w:t>
      </w:r>
      <w:r w:rsidRPr="006554CC">
        <w:rPr>
          <w:i/>
          <w:lang w:val="fr-BE"/>
        </w:rPr>
        <w:t>Le Monde</w:t>
      </w:r>
      <w:r w:rsidRPr="006554CC">
        <w:rPr>
          <w:lang w:val="fr-BE"/>
        </w:rPr>
        <w:t>, 7 juin 2012) et, d’autre part, le ministre des Affaires étrangères, Laurent Fabius (Discours à l’Assemblée nationale, 11 juillet 2013) qui ne souhaite pas des débats trop institutionnels ou de doctrine lors du sommet UE de décembre 2013.</w:t>
      </w:r>
    </w:p>
  </w:footnote>
  <w:footnote w:id="92">
    <w:p w:rsidR="000449D5" w:rsidRPr="00DA259E" w:rsidRDefault="000449D5" w:rsidP="000449D5">
      <w:pPr>
        <w:jc w:val="both"/>
        <w:rPr>
          <w:lang w:val="fr-BE"/>
        </w:rPr>
      </w:pPr>
      <w:r>
        <w:rPr>
          <w:rStyle w:val="Caractresdenotedebasdepage"/>
        </w:rPr>
        <w:footnoteRef/>
      </w:r>
      <w:r w:rsidRPr="006554CC">
        <w:rPr>
          <w:lang w:val="fr-BE"/>
        </w:rPr>
        <w:t xml:space="preserve"> Et de citer le renseignement satellitaire, les drones de surveillance, le transport stratégique, le ravitaillement en vol, les stocks communs de rechanges, les contrats pour le maintien en condition opérationnelle,…</w:t>
      </w:r>
    </w:p>
  </w:footnote>
  <w:footnote w:id="93">
    <w:p w:rsidR="000449D5" w:rsidRPr="00DA259E" w:rsidRDefault="000449D5" w:rsidP="000449D5">
      <w:pPr>
        <w:jc w:val="both"/>
        <w:rPr>
          <w:lang w:val="fr-BE"/>
        </w:rPr>
      </w:pPr>
      <w:r>
        <w:rPr>
          <w:rStyle w:val="Caractresdenotedebasdepage"/>
        </w:rPr>
        <w:footnoteRef/>
      </w:r>
      <w:r w:rsidRPr="00A32CCC">
        <w:rPr>
          <w:lang w:val="fr-BE"/>
        </w:rPr>
        <w:t xml:space="preserve"> Francis Delon, </w:t>
      </w:r>
      <w:r w:rsidRPr="00A32CCC">
        <w:rPr>
          <w:i/>
          <w:lang w:val="fr-BE"/>
        </w:rPr>
        <w:t xml:space="preserve">Op. </w:t>
      </w:r>
      <w:proofErr w:type="spellStart"/>
      <w:proofErr w:type="gramStart"/>
      <w:r w:rsidRPr="00A32CCC">
        <w:rPr>
          <w:i/>
          <w:lang w:val="fr-BE"/>
        </w:rPr>
        <w:t>cit</w:t>
      </w:r>
      <w:proofErr w:type="spellEnd"/>
      <w:proofErr w:type="gramEnd"/>
      <w:r w:rsidRPr="00A32CCC">
        <w:rPr>
          <w:lang w:val="fr-BE"/>
        </w:rPr>
        <w:t xml:space="preserve">. Relevons qu’un rapport du Sénat français sur « Quelle Europe, pour quelle défense ? » (3 juillet 2013) va jusqu’à proposer la création d’un groupe pionnier autour du concept d’Eurogroupe de défense, </w:t>
      </w:r>
      <w:r w:rsidRPr="00A32CCC">
        <w:rPr>
          <w:u w:val="single"/>
          <w:lang w:val="fr-BE"/>
        </w:rPr>
        <w:t>en dehors des institutions européennes actuelles</w:t>
      </w:r>
      <w:r w:rsidRPr="00A32CCC">
        <w:rPr>
          <w:lang w:val="fr-BE"/>
        </w:rPr>
        <w:t>, mais au service de l’UE ou de l’OTAN indifféremment.</w:t>
      </w:r>
    </w:p>
  </w:footnote>
  <w:footnote w:id="94">
    <w:p w:rsidR="000449D5" w:rsidRPr="006554CC" w:rsidRDefault="000449D5" w:rsidP="000449D5">
      <w:pPr>
        <w:jc w:val="both"/>
        <w:rPr>
          <w:lang w:val="fr-BE"/>
        </w:rPr>
      </w:pPr>
      <w:r>
        <w:rPr>
          <w:rStyle w:val="Caractresdenotedebasdepage"/>
        </w:rPr>
        <w:footnoteRef/>
      </w:r>
      <w:r w:rsidRPr="006554CC">
        <w:rPr>
          <w:lang w:val="fr-BE"/>
        </w:rPr>
        <w:t xml:space="preserve"> Expression tirée du sous-titre de l’ouvrage : André Dumoulin, Raphaël Mathieu et Gordon Sarlet, </w:t>
      </w:r>
      <w:r w:rsidRPr="006554CC">
        <w:rPr>
          <w:i/>
          <w:lang w:val="fr-BE"/>
        </w:rPr>
        <w:t>La Politique européenne de sécurité et de défense (PESD). De l’opératoire à l’identitaire</w:t>
      </w:r>
      <w:r w:rsidRPr="006554CC">
        <w:rPr>
          <w:lang w:val="fr-BE"/>
        </w:rPr>
        <w:t>, Bruylant, Bruxelles, 2003.</w:t>
      </w:r>
    </w:p>
  </w:footnote>
  <w:footnote w:id="95">
    <w:p w:rsidR="000449D5" w:rsidRPr="00DA259E" w:rsidRDefault="000449D5" w:rsidP="000449D5">
      <w:pPr>
        <w:jc w:val="both"/>
        <w:rPr>
          <w:lang w:val="fr-BE"/>
        </w:rPr>
      </w:pPr>
      <w:r>
        <w:rPr>
          <w:rStyle w:val="Caractresdenotedebasdepage"/>
        </w:rPr>
        <w:footnoteRef/>
      </w:r>
      <w:r w:rsidRPr="006554CC">
        <w:rPr>
          <w:lang w:val="fr-BE"/>
        </w:rPr>
        <w:t xml:space="preserve"> André Dumoulin, « Politique européenne de sécurité et de défense commune. </w:t>
      </w:r>
      <w:r w:rsidRPr="00A32CCC">
        <w:rPr>
          <w:lang w:val="fr-BE"/>
        </w:rPr>
        <w:t xml:space="preserve">Le jeu des lettres et des « directoires », dans </w:t>
      </w:r>
      <w:r w:rsidRPr="00A32CCC">
        <w:rPr>
          <w:i/>
          <w:lang w:val="fr-BE"/>
        </w:rPr>
        <w:t>Politique étrangère</w:t>
      </w:r>
      <w:r w:rsidRPr="00A32CCC">
        <w:rPr>
          <w:lang w:val="fr-BE"/>
        </w:rPr>
        <w:t>, IFRI, Paris, 3/2011.</w:t>
      </w:r>
    </w:p>
  </w:footnote>
  <w:footnote w:id="96">
    <w:p w:rsidR="000449D5" w:rsidRPr="00DA259E" w:rsidRDefault="000449D5" w:rsidP="000449D5">
      <w:pPr>
        <w:jc w:val="both"/>
        <w:rPr>
          <w:lang w:val="fr-BE"/>
        </w:rPr>
      </w:pPr>
      <w:r>
        <w:rPr>
          <w:rStyle w:val="Caractresdenotedebasdepage"/>
        </w:rPr>
        <w:footnoteRef/>
      </w:r>
      <w:r w:rsidRPr="006554CC">
        <w:rPr>
          <w:lang w:val="fr-BE"/>
        </w:rPr>
        <w:t xml:space="preserve"> </w:t>
      </w:r>
      <w:r w:rsidRPr="006554CC">
        <w:rPr>
          <w:i/>
          <w:lang w:val="fr-BE"/>
        </w:rPr>
        <w:t>Cf</w:t>
      </w:r>
      <w:r w:rsidRPr="006554CC">
        <w:rPr>
          <w:lang w:val="fr-BE"/>
        </w:rPr>
        <w:t xml:space="preserve">. Vincent Desportes, « L’Europe de la défense, un impératif absolu », dans </w:t>
      </w:r>
      <w:r w:rsidRPr="006554CC">
        <w:rPr>
          <w:i/>
          <w:lang w:val="fr-BE"/>
        </w:rPr>
        <w:t>Revue de Défense nationale</w:t>
      </w:r>
      <w:r w:rsidRPr="006554CC">
        <w:rPr>
          <w:lang w:val="fr-BE"/>
        </w:rPr>
        <w:t>, Paris, octobre 2012, p. 39.</w:t>
      </w:r>
    </w:p>
  </w:footnote>
  <w:footnote w:id="97">
    <w:p w:rsidR="000449D5" w:rsidRPr="00DA259E" w:rsidRDefault="000449D5" w:rsidP="000449D5">
      <w:pPr>
        <w:jc w:val="both"/>
        <w:rPr>
          <w:lang w:val="fr-BE"/>
        </w:rPr>
      </w:pPr>
      <w:r>
        <w:rPr>
          <w:rStyle w:val="Caractresdenotedebasdepage"/>
        </w:rPr>
        <w:footnoteRef/>
      </w:r>
      <w:r w:rsidRPr="006554CC">
        <w:rPr>
          <w:lang w:val="fr-BE"/>
        </w:rPr>
        <w:t xml:space="preserve"> </w:t>
      </w:r>
      <w:r w:rsidRPr="006554CC">
        <w:rPr>
          <w:szCs w:val="24"/>
          <w:lang w:val="fr-BE"/>
        </w:rPr>
        <w:t xml:space="preserve">Jean-Marie Guéhenno, Entretien, dans </w:t>
      </w:r>
      <w:r w:rsidRPr="006554CC">
        <w:rPr>
          <w:i/>
          <w:szCs w:val="24"/>
          <w:lang w:val="fr-BE"/>
        </w:rPr>
        <w:t>Le Monde</w:t>
      </w:r>
      <w:r w:rsidRPr="006554CC">
        <w:rPr>
          <w:szCs w:val="24"/>
          <w:lang w:val="fr-BE"/>
        </w:rPr>
        <w:t>, 30 avril 2013, p. 6.</w:t>
      </w:r>
    </w:p>
  </w:footnote>
  <w:footnote w:id="98">
    <w:p w:rsidR="000449D5" w:rsidRPr="00DA259E" w:rsidRDefault="000449D5" w:rsidP="000449D5">
      <w:pPr>
        <w:jc w:val="both"/>
        <w:rPr>
          <w:lang w:val="fr-BE"/>
        </w:rPr>
      </w:pPr>
      <w:r>
        <w:rPr>
          <w:rStyle w:val="Caractresdenotedebasdepage"/>
        </w:rPr>
        <w:footnoteRef/>
      </w:r>
      <w:r w:rsidRPr="006554CC">
        <w:rPr>
          <w:lang w:val="fr-BE"/>
        </w:rPr>
        <w:t xml:space="preserve"> Où les députés de la Commission  de la Défense nationale recommandent  « que la Belgique continue à jouer un rôle moteur dans la poursuite de la PSDC et prépare dès lors une position ambitieuse en vue du Conseil européen de décembre 2013 » (p. 7).</w:t>
      </w:r>
    </w:p>
  </w:footnote>
  <w:footnote w:id="99">
    <w:p w:rsidR="000449D5" w:rsidRDefault="000449D5" w:rsidP="000449D5">
      <w:pPr>
        <w:jc w:val="both"/>
      </w:pPr>
      <w:r>
        <w:rPr>
          <w:rStyle w:val="Caractresdenotedebasdepage"/>
        </w:rPr>
        <w:footnoteRef/>
      </w:r>
      <w:r w:rsidRPr="006554CC">
        <w:rPr>
          <w:lang w:val="fr-BE"/>
        </w:rPr>
        <w:t xml:space="preserve"> Sir Michael Alexander, « </w:t>
      </w:r>
      <w:r w:rsidRPr="006554CC">
        <w:rPr>
          <w:i/>
          <w:lang w:val="fr-BE"/>
        </w:rPr>
        <w:t>Quel que soit le rôle de l’UE, les responsables savent tous que le développement d’une politique unique de sécurité et de défense peut être bâti seulement sur un consensus développé au départ entre la France, l’Allemagne et le Royaume-Uni </w:t>
      </w:r>
      <w:r w:rsidRPr="006554CC">
        <w:rPr>
          <w:lang w:val="fr-BE"/>
        </w:rPr>
        <w:t xml:space="preserve">». </w:t>
      </w:r>
      <w:r>
        <w:rPr>
          <w:i/>
        </w:rPr>
        <w:t>The Guardian</w:t>
      </w:r>
      <w:r>
        <w:t xml:space="preserve">, 4 </w:t>
      </w:r>
      <w:proofErr w:type="spellStart"/>
      <w:r>
        <w:t>août</w:t>
      </w:r>
      <w:proofErr w:type="spellEnd"/>
      <w:r>
        <w:t xml:space="preserve"> 2010. </w:t>
      </w:r>
      <w:proofErr w:type="gramStart"/>
      <w:r>
        <w:rPr>
          <w:i/>
        </w:rPr>
        <w:t>Cf</w:t>
      </w:r>
      <w:r>
        <w:t xml:space="preserve">. </w:t>
      </w:r>
      <w:proofErr w:type="spellStart"/>
      <w:r>
        <w:t>aussi</w:t>
      </w:r>
      <w:proofErr w:type="spellEnd"/>
      <w:r>
        <w:t xml:space="preserve"> Stefan </w:t>
      </w:r>
      <w:proofErr w:type="spellStart"/>
      <w:r>
        <w:t>Lehne</w:t>
      </w:r>
      <w:proofErr w:type="spellEnd"/>
      <w:r>
        <w:t xml:space="preserve">, </w:t>
      </w:r>
      <w:r>
        <w:rPr>
          <w:lang w:val="en-GB"/>
        </w:rPr>
        <w:t>« </w:t>
      </w:r>
      <w:r>
        <w:t>“The Big Three in EU Foreign Policy</w:t>
      </w:r>
      <w:r>
        <w:rPr>
          <w:i/>
          <w:lang w:val="en-GB"/>
        </w:rPr>
        <w:t> </w:t>
      </w:r>
      <w:r>
        <w:rPr>
          <w:lang w:val="en-GB"/>
        </w:rPr>
        <w:t>»</w:t>
      </w:r>
      <w:r>
        <w:t>”, The Carnegie Papers, Carnegie Europe, July 2012.</w:t>
      </w:r>
      <w:proofErr w:type="gramEnd"/>
    </w:p>
  </w:footnote>
  <w:footnote w:id="100">
    <w:p w:rsidR="000449D5" w:rsidRPr="00FB7F9E" w:rsidRDefault="000449D5" w:rsidP="000449D5">
      <w:pPr>
        <w:jc w:val="both"/>
      </w:pPr>
      <w:r>
        <w:rPr>
          <w:rStyle w:val="Caractresdenotedebasdepage"/>
        </w:rPr>
        <w:footnoteRef/>
      </w:r>
      <w:r w:rsidRPr="00FB7F9E">
        <w:t xml:space="preserve"> </w:t>
      </w:r>
      <w:r w:rsidRPr="00FB7F9E">
        <w:rPr>
          <w:i/>
        </w:rPr>
        <w:t>Cf</w:t>
      </w:r>
      <w:r w:rsidRPr="00FB7F9E">
        <w:t xml:space="preserve">. À </w:t>
      </w:r>
      <w:proofErr w:type="spellStart"/>
      <w:r w:rsidRPr="00FB7F9E">
        <w:t>ce</w:t>
      </w:r>
      <w:proofErr w:type="spellEnd"/>
      <w:r w:rsidRPr="00FB7F9E">
        <w:t xml:space="preserve"> </w:t>
      </w:r>
      <w:proofErr w:type="spellStart"/>
      <w:r w:rsidRPr="00FB7F9E">
        <w:t>sujet</w:t>
      </w:r>
      <w:proofErr w:type="spellEnd"/>
      <w:r w:rsidRPr="00FB7F9E">
        <w:t xml:space="preserve">, </w:t>
      </w:r>
      <w:r w:rsidRPr="00FB7F9E">
        <w:rPr>
          <w:i/>
        </w:rPr>
        <w:t>The Future of the Benelux Defence Cooperation</w:t>
      </w:r>
      <w:r w:rsidRPr="00FB7F9E">
        <w:t xml:space="preserve">, </w:t>
      </w:r>
      <w:proofErr w:type="spellStart"/>
      <w:r w:rsidRPr="00FB7F9E">
        <w:t>Clingendael</w:t>
      </w:r>
      <w:proofErr w:type="spellEnd"/>
      <w:r w:rsidRPr="00FB7F9E">
        <w:t xml:space="preserve">/Egmont Report, April 2013; Marc </w:t>
      </w:r>
      <w:proofErr w:type="spellStart"/>
      <w:r w:rsidRPr="00FB7F9E">
        <w:t>Kleysman</w:t>
      </w:r>
      <w:proofErr w:type="spellEnd"/>
      <w:r w:rsidRPr="00FB7F9E">
        <w:t xml:space="preserve">, « Collaboration Benelux : la </w:t>
      </w:r>
      <w:proofErr w:type="spellStart"/>
      <w:r w:rsidRPr="00FB7F9E">
        <w:t>panacée</w:t>
      </w:r>
      <w:proofErr w:type="spellEnd"/>
      <w:r w:rsidRPr="00FB7F9E">
        <w:t xml:space="preserve"> ? », </w:t>
      </w:r>
      <w:proofErr w:type="spellStart"/>
      <w:r w:rsidRPr="00FB7F9E">
        <w:t>dans</w:t>
      </w:r>
      <w:proofErr w:type="spellEnd"/>
      <w:r w:rsidRPr="00FB7F9E">
        <w:t xml:space="preserve"> </w:t>
      </w:r>
      <w:proofErr w:type="spellStart"/>
      <w:r w:rsidRPr="00FB7F9E">
        <w:rPr>
          <w:i/>
        </w:rPr>
        <w:t>Dbriefing</w:t>
      </w:r>
      <w:proofErr w:type="spellEnd"/>
      <w:r w:rsidRPr="00FB7F9E">
        <w:t xml:space="preserve">, La </w:t>
      </w:r>
      <w:proofErr w:type="spellStart"/>
      <w:r w:rsidRPr="00FB7F9E">
        <w:t>Défense</w:t>
      </w:r>
      <w:proofErr w:type="spellEnd"/>
      <w:r w:rsidRPr="00FB7F9E">
        <w:t xml:space="preserve">, n°5, Bruxelles, 23 </w:t>
      </w:r>
      <w:proofErr w:type="spellStart"/>
      <w:r w:rsidRPr="00FB7F9E">
        <w:t>mai</w:t>
      </w:r>
      <w:proofErr w:type="spellEnd"/>
      <w:r w:rsidRPr="00FB7F9E">
        <w:t xml:space="preserve"> 2013 ; Pieter-Jan </w:t>
      </w:r>
      <w:proofErr w:type="spellStart"/>
      <w:r w:rsidRPr="00FB7F9E">
        <w:t>Parrein</w:t>
      </w:r>
      <w:proofErr w:type="spellEnd"/>
      <w:r w:rsidRPr="00FB7F9E">
        <w:t xml:space="preserve">, </w:t>
      </w:r>
      <w:r w:rsidRPr="00FB7F9E">
        <w:rPr>
          <w:i/>
        </w:rPr>
        <w:t xml:space="preserve">Some Ideas for European Defence Cooperation. </w:t>
      </w:r>
      <w:r>
        <w:rPr>
          <w:i/>
        </w:rPr>
        <w:t>From the Case Study of the Belgian-Dutch Navy Cooperation</w:t>
      </w:r>
      <w:r>
        <w:t xml:space="preserve">, </w:t>
      </w:r>
      <w:r w:rsidRPr="00FB7F9E">
        <w:rPr>
          <w:i/>
        </w:rPr>
        <w:t xml:space="preserve">Focus </w:t>
      </w:r>
      <w:r>
        <w:rPr>
          <w:i/>
        </w:rPr>
        <w:t>P</w:t>
      </w:r>
      <w:r w:rsidRPr="00FB7F9E">
        <w:rPr>
          <w:i/>
        </w:rPr>
        <w:t>aper</w:t>
      </w:r>
      <w:r>
        <w:t xml:space="preserve"> 25, RHID-CSDS, Bruxelles, December 2010.</w:t>
      </w:r>
    </w:p>
  </w:footnote>
  <w:footnote w:id="101">
    <w:p w:rsidR="000449D5" w:rsidRPr="00DA259E" w:rsidRDefault="000449D5" w:rsidP="000449D5">
      <w:pPr>
        <w:jc w:val="both"/>
        <w:rPr>
          <w:lang w:val="fr-BE"/>
        </w:rPr>
      </w:pPr>
      <w:r>
        <w:rPr>
          <w:rStyle w:val="Caractresdenotedebasdepage"/>
        </w:rPr>
        <w:footnoteRef/>
      </w:r>
      <w:r w:rsidRPr="006554CC">
        <w:rPr>
          <w:lang w:val="fr-BE"/>
        </w:rPr>
        <w:t xml:space="preserve"> « En tout cas, aucun progrès ne peut être attendu sans un accord de fond au départ au moins à deux avec l’abstention constructive du troisième. » </w:t>
      </w:r>
      <w:r w:rsidRPr="00A32CCC">
        <w:rPr>
          <w:lang w:val="fr-BE"/>
        </w:rPr>
        <w:t xml:space="preserve">(Louis Gautier, « Livre blanc de 2013 et défense européenne : </w:t>
      </w:r>
      <w:r w:rsidRPr="00A32CCC">
        <w:rPr>
          <w:i/>
          <w:lang w:val="fr-BE"/>
        </w:rPr>
        <w:t>contra</w:t>
      </w:r>
      <w:r w:rsidRPr="00A32CCC">
        <w:rPr>
          <w:lang w:val="fr-BE"/>
        </w:rPr>
        <w:t xml:space="preserve"> </w:t>
      </w:r>
      <w:proofErr w:type="spellStart"/>
      <w:r w:rsidRPr="00A32CCC">
        <w:rPr>
          <w:i/>
          <w:lang w:val="fr-BE"/>
        </w:rPr>
        <w:t>spem</w:t>
      </w:r>
      <w:proofErr w:type="spellEnd"/>
      <w:r w:rsidRPr="00A32CCC">
        <w:rPr>
          <w:i/>
          <w:lang w:val="fr-BE"/>
        </w:rPr>
        <w:t xml:space="preserve"> in </w:t>
      </w:r>
      <w:proofErr w:type="spellStart"/>
      <w:r w:rsidRPr="00A32CCC">
        <w:rPr>
          <w:i/>
          <w:lang w:val="fr-BE"/>
        </w:rPr>
        <w:t>spe</w:t>
      </w:r>
      <w:proofErr w:type="spellEnd"/>
      <w:r w:rsidRPr="00A32CCC">
        <w:rPr>
          <w:lang w:val="fr-BE"/>
        </w:rPr>
        <w:t xml:space="preserve"> », dans </w:t>
      </w:r>
      <w:r w:rsidRPr="00A32CCC">
        <w:rPr>
          <w:i/>
          <w:lang w:val="fr-BE"/>
        </w:rPr>
        <w:t>Revue de Défense nationale</w:t>
      </w:r>
      <w:r w:rsidRPr="00A32CCC">
        <w:rPr>
          <w:lang w:val="fr-BE"/>
        </w:rPr>
        <w:t>, Paris, été 2013, p. 18).</w:t>
      </w:r>
    </w:p>
  </w:footnote>
  <w:footnote w:id="102">
    <w:p w:rsidR="000449D5" w:rsidRPr="006554CC" w:rsidRDefault="000449D5" w:rsidP="000449D5">
      <w:pPr>
        <w:jc w:val="both"/>
        <w:rPr>
          <w:lang w:val="fr-BE"/>
        </w:rPr>
      </w:pPr>
      <w:r>
        <w:rPr>
          <w:rStyle w:val="Caractresdenotedebasdepage"/>
        </w:rPr>
        <w:footnoteRef/>
      </w:r>
      <w:r w:rsidRPr="006554CC">
        <w:rPr>
          <w:lang w:val="fr-BE"/>
        </w:rPr>
        <w:t xml:space="preserve"> André Dumoulin, </w:t>
      </w:r>
      <w:r w:rsidRPr="006554CC">
        <w:rPr>
          <w:i/>
          <w:lang w:val="fr-BE"/>
        </w:rPr>
        <w:t>Belgique et coopération structurée en matière de défense : le groupe des Quatre. Contexte, capacités, limites, scénarios</w:t>
      </w:r>
      <w:r w:rsidRPr="006554CC">
        <w:rPr>
          <w:lang w:val="fr-BE"/>
        </w:rPr>
        <w:t>, Ibidem, n°3, ERM, Bruxelles, 2004.</w:t>
      </w:r>
    </w:p>
  </w:footnote>
  <w:footnote w:id="103">
    <w:p w:rsidR="000449D5" w:rsidRPr="00DA259E" w:rsidRDefault="000449D5" w:rsidP="000449D5">
      <w:pPr>
        <w:jc w:val="both"/>
        <w:rPr>
          <w:lang w:val="fr-BE"/>
        </w:rPr>
      </w:pPr>
      <w:r>
        <w:rPr>
          <w:rStyle w:val="Caractresdenotedebasdepage"/>
        </w:rPr>
        <w:footnoteRef/>
      </w:r>
      <w:r w:rsidRPr="006554CC">
        <w:rPr>
          <w:lang w:val="fr-BE"/>
        </w:rPr>
        <w:t xml:space="preserve"> </w:t>
      </w:r>
      <w:r w:rsidRPr="006554CC">
        <w:rPr>
          <w:i/>
          <w:lang w:val="fr-BE"/>
        </w:rPr>
        <w:t>Cf</w:t>
      </w:r>
      <w:r w:rsidRPr="006554CC">
        <w:rPr>
          <w:lang w:val="fr-BE"/>
        </w:rPr>
        <w:t xml:space="preserve">. « Programmes principaux en coopération figurant dans le tableau de synthèse du rapport d’exécution 2011 de la loi de programmation militaire », Rapport d’information n°1233 relatif à une revue capacitaire des armées, Assemblée nationale, Paris, 10 juillet 2013, pp. 79-81 (voir tableau en annexe </w:t>
      </w:r>
      <w:r>
        <w:rPr>
          <w:lang w:val="fr-BE"/>
        </w:rPr>
        <w:t>1</w:t>
      </w:r>
      <w:r w:rsidRPr="006554CC">
        <w:rPr>
          <w:lang w:val="fr-BE"/>
        </w:rPr>
        <w:t xml:space="preserve"> dans le présent </w:t>
      </w:r>
      <w:r w:rsidRPr="006554CC">
        <w:rPr>
          <w:i/>
          <w:lang w:val="fr-BE"/>
        </w:rPr>
        <w:t>Focus Paper</w:t>
      </w:r>
      <w:r w:rsidRPr="006554CC">
        <w:rPr>
          <w:lang w:val="fr-BE"/>
        </w:rPr>
        <w:t>).</w:t>
      </w:r>
    </w:p>
  </w:footnote>
  <w:footnote w:id="104">
    <w:p w:rsidR="000449D5" w:rsidRPr="00DA259E" w:rsidRDefault="000449D5" w:rsidP="000449D5">
      <w:pPr>
        <w:jc w:val="both"/>
        <w:rPr>
          <w:lang w:val="fr-BE"/>
        </w:rPr>
      </w:pPr>
      <w:r>
        <w:rPr>
          <w:rStyle w:val="Caractresdenotedebasdepage"/>
        </w:rPr>
        <w:footnoteRef/>
      </w:r>
      <w:r w:rsidRPr="006554CC">
        <w:rPr>
          <w:lang w:val="fr-BE"/>
        </w:rPr>
        <w:t xml:space="preserve"> Alain De Neve, </w:t>
      </w:r>
      <w:r w:rsidRPr="006554CC">
        <w:rPr>
          <w:i/>
          <w:lang w:val="fr-BE"/>
        </w:rPr>
        <w:t>La coopération structurée permanente (CSP) : débats et hypothèses de mise en œuvre</w:t>
      </w:r>
      <w:r w:rsidRPr="006554CC">
        <w:rPr>
          <w:lang w:val="fr-BE"/>
        </w:rPr>
        <w:t xml:space="preserve">, dans </w:t>
      </w:r>
      <w:r w:rsidRPr="006554CC">
        <w:rPr>
          <w:i/>
          <w:lang w:val="fr-BE"/>
        </w:rPr>
        <w:t>Sécurité et Stratégie</w:t>
      </w:r>
      <w:r w:rsidRPr="006554CC">
        <w:rPr>
          <w:lang w:val="fr-BE"/>
        </w:rPr>
        <w:t xml:space="preserve"> n°110, IRSD, octobre 2011 ; Collectif, </w:t>
      </w:r>
      <w:r w:rsidRPr="006554CC">
        <w:rPr>
          <w:i/>
          <w:lang w:val="fr-BE"/>
        </w:rPr>
        <w:t>La coopération structurée permanente, un cadre juridique riche en potentialités pour une Europe des défenses</w:t>
      </w:r>
      <w:r w:rsidRPr="006554CC">
        <w:rPr>
          <w:lang w:val="fr-BE"/>
        </w:rPr>
        <w:t>, dans Synopsis, CREC, Ecole spéciale militaire de Saint-Cyr, décembre 2012 ; Jolyon Howorth, « </w:t>
      </w:r>
      <w:proofErr w:type="spellStart"/>
      <w:r w:rsidRPr="006554CC">
        <w:rPr>
          <w:lang w:val="fr-BE"/>
        </w:rPr>
        <w:t>Strategy</w:t>
      </w:r>
      <w:proofErr w:type="spellEnd"/>
      <w:r w:rsidRPr="006554CC">
        <w:rPr>
          <w:lang w:val="fr-BE"/>
        </w:rPr>
        <w:t xml:space="preserve"> and the Importance of </w:t>
      </w:r>
      <w:proofErr w:type="spellStart"/>
      <w:r w:rsidRPr="006554CC">
        <w:rPr>
          <w:lang w:val="fr-BE"/>
        </w:rPr>
        <w:t>Defence</w:t>
      </w:r>
      <w:proofErr w:type="spellEnd"/>
      <w:r w:rsidRPr="006554CC">
        <w:rPr>
          <w:lang w:val="fr-BE"/>
        </w:rPr>
        <w:t xml:space="preserve"> </w:t>
      </w:r>
      <w:proofErr w:type="spellStart"/>
      <w:r w:rsidRPr="006554CC">
        <w:rPr>
          <w:lang w:val="fr-BE"/>
        </w:rPr>
        <w:t>Cooperation</w:t>
      </w:r>
      <w:proofErr w:type="spellEnd"/>
      <w:r w:rsidRPr="006554CC">
        <w:rPr>
          <w:lang w:val="fr-BE"/>
        </w:rPr>
        <w:t xml:space="preserve"> </w:t>
      </w:r>
      <w:proofErr w:type="spellStart"/>
      <w:r w:rsidRPr="006554CC">
        <w:rPr>
          <w:lang w:val="fr-BE"/>
        </w:rPr>
        <w:t>among</w:t>
      </w:r>
      <w:proofErr w:type="spellEnd"/>
      <w:r w:rsidRPr="006554CC">
        <w:rPr>
          <w:lang w:val="fr-BE"/>
        </w:rPr>
        <w:t xml:space="preserve"> EU </w:t>
      </w:r>
      <w:proofErr w:type="spellStart"/>
      <w:r w:rsidRPr="006554CC">
        <w:rPr>
          <w:lang w:val="fr-BE"/>
        </w:rPr>
        <w:t>Member</w:t>
      </w:r>
      <w:proofErr w:type="spellEnd"/>
      <w:r w:rsidRPr="006554CC">
        <w:rPr>
          <w:lang w:val="fr-BE"/>
        </w:rPr>
        <w:t xml:space="preserve"> States », </w:t>
      </w:r>
      <w:r w:rsidRPr="006554CC">
        <w:rPr>
          <w:i/>
          <w:lang w:val="fr-BE"/>
        </w:rPr>
        <w:t>Egmont Security Policy</w:t>
      </w:r>
      <w:r w:rsidRPr="006554CC">
        <w:rPr>
          <w:lang w:val="fr-BE"/>
        </w:rPr>
        <w:t xml:space="preserve"> </w:t>
      </w:r>
      <w:proofErr w:type="spellStart"/>
      <w:r w:rsidRPr="006554CC">
        <w:rPr>
          <w:i/>
          <w:lang w:val="fr-BE"/>
        </w:rPr>
        <w:t>Brief</w:t>
      </w:r>
      <w:proofErr w:type="spellEnd"/>
      <w:r w:rsidRPr="006554CC">
        <w:rPr>
          <w:lang w:val="fr-BE"/>
        </w:rPr>
        <w:t xml:space="preserve"> n°12, Brussels, </w:t>
      </w:r>
      <w:proofErr w:type="spellStart"/>
      <w:r w:rsidRPr="006554CC">
        <w:rPr>
          <w:lang w:val="fr-BE"/>
        </w:rPr>
        <w:t>September</w:t>
      </w:r>
      <w:proofErr w:type="spellEnd"/>
      <w:r w:rsidRPr="006554CC">
        <w:rPr>
          <w:lang w:val="fr-BE"/>
        </w:rPr>
        <w:t xml:space="preserve">, 2010 ; André Dumoulin et Patrice </w:t>
      </w:r>
      <w:proofErr w:type="spellStart"/>
      <w:r w:rsidRPr="006554CC">
        <w:rPr>
          <w:lang w:val="fr-BE"/>
        </w:rPr>
        <w:t>Cardot</w:t>
      </w:r>
      <w:proofErr w:type="spellEnd"/>
      <w:r w:rsidRPr="006554CC">
        <w:rPr>
          <w:lang w:val="fr-BE"/>
        </w:rPr>
        <w:t xml:space="preserve">, « La coopération structurée permanente : le sésame ? », dans </w:t>
      </w:r>
      <w:r w:rsidRPr="006554CC">
        <w:rPr>
          <w:i/>
          <w:lang w:val="fr-BE"/>
        </w:rPr>
        <w:t>DSI</w:t>
      </w:r>
      <w:r w:rsidRPr="006554CC">
        <w:rPr>
          <w:lang w:val="fr-BE"/>
        </w:rPr>
        <w:t xml:space="preserve">, Areion, Paris, juillet-août 2008 ; Sven Biscop et Jo Coelmont, « Military </w:t>
      </w:r>
      <w:proofErr w:type="spellStart"/>
      <w:r w:rsidRPr="006554CC">
        <w:rPr>
          <w:lang w:val="fr-BE"/>
        </w:rPr>
        <w:t>Capabilities</w:t>
      </w:r>
      <w:proofErr w:type="spellEnd"/>
      <w:r w:rsidRPr="006554CC">
        <w:rPr>
          <w:lang w:val="fr-BE"/>
        </w:rPr>
        <w:t xml:space="preserve"> : </w:t>
      </w:r>
      <w:proofErr w:type="spellStart"/>
      <w:r w:rsidRPr="006554CC">
        <w:rPr>
          <w:lang w:val="fr-BE"/>
        </w:rPr>
        <w:t>From</w:t>
      </w:r>
      <w:proofErr w:type="spellEnd"/>
      <w:r w:rsidRPr="006554CC">
        <w:rPr>
          <w:lang w:val="fr-BE"/>
        </w:rPr>
        <w:t xml:space="preserve"> Pooling &amp; Sharing to a Permanent and </w:t>
      </w:r>
      <w:proofErr w:type="spellStart"/>
      <w:r w:rsidRPr="006554CC">
        <w:rPr>
          <w:lang w:val="fr-BE"/>
        </w:rPr>
        <w:t>Structured</w:t>
      </w:r>
      <w:proofErr w:type="spellEnd"/>
      <w:r w:rsidRPr="006554CC">
        <w:rPr>
          <w:lang w:val="fr-BE"/>
        </w:rPr>
        <w:t xml:space="preserve"> </w:t>
      </w:r>
      <w:proofErr w:type="spellStart"/>
      <w:r w:rsidRPr="006554CC">
        <w:rPr>
          <w:lang w:val="fr-BE"/>
        </w:rPr>
        <w:t>Approach</w:t>
      </w:r>
      <w:proofErr w:type="spellEnd"/>
      <w:r w:rsidRPr="006554CC">
        <w:rPr>
          <w:lang w:val="fr-BE"/>
        </w:rPr>
        <w:t xml:space="preserve"> », </w:t>
      </w:r>
      <w:r w:rsidRPr="006554CC">
        <w:rPr>
          <w:i/>
          <w:lang w:val="fr-BE"/>
        </w:rPr>
        <w:t>Egmont Security Policy</w:t>
      </w:r>
      <w:r w:rsidRPr="006554CC">
        <w:rPr>
          <w:lang w:val="fr-BE"/>
        </w:rPr>
        <w:t xml:space="preserve"> </w:t>
      </w:r>
      <w:proofErr w:type="spellStart"/>
      <w:r w:rsidRPr="006554CC">
        <w:rPr>
          <w:i/>
          <w:lang w:val="fr-BE"/>
        </w:rPr>
        <w:t>Brief</w:t>
      </w:r>
      <w:proofErr w:type="spellEnd"/>
      <w:r w:rsidRPr="006554CC">
        <w:rPr>
          <w:lang w:val="fr-BE"/>
        </w:rPr>
        <w:t xml:space="preserve"> n° 37, Brussels, </w:t>
      </w:r>
      <w:proofErr w:type="spellStart"/>
      <w:r w:rsidRPr="006554CC">
        <w:rPr>
          <w:lang w:val="fr-BE"/>
        </w:rPr>
        <w:t>September</w:t>
      </w:r>
      <w:proofErr w:type="spellEnd"/>
      <w:r w:rsidRPr="006554CC">
        <w:rPr>
          <w:lang w:val="fr-BE"/>
        </w:rPr>
        <w:t xml:space="preserve">, 2012. </w:t>
      </w:r>
    </w:p>
  </w:footnote>
  <w:footnote w:id="105">
    <w:p w:rsidR="000449D5" w:rsidRPr="00DA259E" w:rsidRDefault="000449D5" w:rsidP="000449D5">
      <w:pPr>
        <w:jc w:val="both"/>
        <w:rPr>
          <w:lang w:val="fr-BE"/>
        </w:rPr>
      </w:pPr>
      <w:r>
        <w:rPr>
          <w:rStyle w:val="Caractresdenotedebasdepage"/>
        </w:rPr>
        <w:footnoteRef/>
      </w:r>
      <w:r w:rsidRPr="006554CC">
        <w:rPr>
          <w:lang w:val="fr-BE"/>
        </w:rPr>
        <w:t xml:space="preserve"> </w:t>
      </w:r>
      <w:r w:rsidRPr="006554CC">
        <w:rPr>
          <w:i/>
          <w:lang w:val="fr-BE"/>
        </w:rPr>
        <w:t>Cf</w:t>
      </w:r>
      <w:r w:rsidRPr="006554CC">
        <w:rPr>
          <w:lang w:val="fr-BE"/>
        </w:rPr>
        <w:t>. l’intervention de Laurent Fabius, ministre français des Affaires étrangères, « Relance de la PSDC », devant les ambassadeurs polonais, Varsovie, 26 juillet 2012.</w:t>
      </w:r>
    </w:p>
  </w:footnote>
  <w:footnote w:id="106">
    <w:p w:rsidR="000449D5" w:rsidRPr="00DA259E" w:rsidRDefault="000449D5" w:rsidP="000449D5">
      <w:pPr>
        <w:jc w:val="both"/>
        <w:rPr>
          <w:lang w:val="fr-BE"/>
        </w:rPr>
      </w:pPr>
      <w:r>
        <w:rPr>
          <w:rStyle w:val="Caractresdenotedebasdepage"/>
        </w:rPr>
        <w:footnoteRef/>
      </w:r>
      <w:r w:rsidRPr="006554CC">
        <w:rPr>
          <w:lang w:val="fr-BE"/>
        </w:rPr>
        <w:t xml:space="preserve"> Les Polonais souhaiteraient étudier avant fin 2013 le lancement de la CSP à quelques-uns mais ne veulent pas s’enfermer dans la notion de critères. </w:t>
      </w:r>
      <w:r w:rsidRPr="00A32CCC">
        <w:rPr>
          <w:lang w:val="fr-BE"/>
        </w:rPr>
        <w:t>Il s’agirait plutôt de déterminer quels sont les pays qui ont à la fois la volonté et les moyens de la lancer. (</w:t>
      </w:r>
      <w:r w:rsidRPr="00A32CCC">
        <w:rPr>
          <w:i/>
          <w:lang w:val="fr-BE"/>
        </w:rPr>
        <w:t>Cf</w:t>
      </w:r>
      <w:r w:rsidRPr="00A32CCC">
        <w:rPr>
          <w:lang w:val="fr-BE"/>
        </w:rPr>
        <w:t xml:space="preserve">. les déclarations de l’ambassadeur de Pologne en France lors du débat sur « Vers une Europe de la Défense ? De la sécurité collective à la défense commune : l’exemple des politiques industrielles d’armement », colloque, Atelier de la Citadelle, Mission Lille </w:t>
      </w:r>
      <w:proofErr w:type="spellStart"/>
      <w:r w:rsidRPr="00A32CCC">
        <w:rPr>
          <w:lang w:val="fr-BE"/>
        </w:rPr>
        <w:t>Eurométropole</w:t>
      </w:r>
      <w:proofErr w:type="spellEnd"/>
      <w:r w:rsidRPr="00A32CCC">
        <w:rPr>
          <w:lang w:val="fr-BE"/>
        </w:rPr>
        <w:t xml:space="preserve"> défense sécurité, Lille, 7 juin 2013). Relevons également que l’ambassadeur polonais des Affaires étrangères, M. </w:t>
      </w:r>
      <w:proofErr w:type="spellStart"/>
      <w:r w:rsidRPr="00A32CCC">
        <w:rPr>
          <w:lang w:val="fr-BE"/>
        </w:rPr>
        <w:t>Radoslaw</w:t>
      </w:r>
      <w:proofErr w:type="spellEnd"/>
      <w:r w:rsidRPr="00A32CCC">
        <w:rPr>
          <w:lang w:val="fr-BE"/>
        </w:rPr>
        <w:t xml:space="preserve"> Sikorski, a été invité à intervenir le 29 août 2013 autour du thème de l’Europe de la défense, à la </w:t>
      </w:r>
      <w:proofErr w:type="spellStart"/>
      <w:r w:rsidRPr="00A32CCC">
        <w:rPr>
          <w:lang w:val="fr-BE"/>
        </w:rPr>
        <w:t>XXI</w:t>
      </w:r>
      <w:r w:rsidRPr="00A32CCC">
        <w:rPr>
          <w:vertAlign w:val="superscript"/>
          <w:lang w:val="fr-BE"/>
        </w:rPr>
        <w:t>e</w:t>
      </w:r>
      <w:r w:rsidRPr="00A32CCC">
        <w:rPr>
          <w:lang w:val="fr-BE"/>
        </w:rPr>
        <w:t>ème</w:t>
      </w:r>
      <w:proofErr w:type="spellEnd"/>
      <w:r w:rsidRPr="00A32CCC">
        <w:rPr>
          <w:lang w:val="fr-BE"/>
        </w:rPr>
        <w:t xml:space="preserve"> Conférence des ambassadeurs organisée par le Quai d’Orsay. </w:t>
      </w:r>
    </w:p>
  </w:footnote>
  <w:footnote w:id="107">
    <w:p w:rsidR="000449D5" w:rsidRPr="00A32CCC" w:rsidRDefault="000449D5" w:rsidP="000449D5">
      <w:pPr>
        <w:jc w:val="both"/>
        <w:rPr>
          <w:lang w:val="fr-BE"/>
        </w:rPr>
      </w:pPr>
      <w:r>
        <w:rPr>
          <w:rStyle w:val="Caractresdenotedebasdepage"/>
        </w:rPr>
        <w:footnoteRef/>
      </w:r>
      <w:r w:rsidRPr="006554CC">
        <w:rPr>
          <w:lang w:val="fr-BE"/>
        </w:rPr>
        <w:t xml:space="preserve"> </w:t>
      </w:r>
      <w:r w:rsidRPr="006554CC">
        <w:rPr>
          <w:i/>
          <w:lang w:val="fr-BE"/>
        </w:rPr>
        <w:t>Cf</w:t>
      </w:r>
      <w:r w:rsidRPr="006554CC">
        <w:rPr>
          <w:lang w:val="fr-BE"/>
        </w:rPr>
        <w:t xml:space="preserve">. André Dumoulin, « Vers un Livre blanc européen de la sécurité et de la défense : entre </w:t>
      </w:r>
      <w:r>
        <w:rPr>
          <w:lang w:val="fr-BE"/>
        </w:rPr>
        <w:t>“</w:t>
      </w:r>
      <w:r w:rsidRPr="006554CC">
        <w:rPr>
          <w:lang w:val="fr-BE"/>
        </w:rPr>
        <w:t>objet non identifié</w:t>
      </w:r>
      <w:r>
        <w:rPr>
          <w:lang w:val="fr-BE"/>
        </w:rPr>
        <w:t>”</w:t>
      </w:r>
      <w:r w:rsidRPr="006554CC">
        <w:rPr>
          <w:lang w:val="fr-BE"/>
        </w:rPr>
        <w:t xml:space="preserve"> et fenêtre d’opportunité », </w:t>
      </w:r>
      <w:r w:rsidRPr="006554CC">
        <w:rPr>
          <w:i/>
          <w:lang w:val="fr-BE"/>
        </w:rPr>
        <w:t xml:space="preserve">Op. </w:t>
      </w:r>
      <w:proofErr w:type="spellStart"/>
      <w:proofErr w:type="gramStart"/>
      <w:r w:rsidRPr="006554CC">
        <w:rPr>
          <w:i/>
          <w:lang w:val="fr-BE"/>
        </w:rPr>
        <w:t>cit</w:t>
      </w:r>
      <w:proofErr w:type="spellEnd"/>
      <w:proofErr w:type="gramEnd"/>
      <w:r w:rsidRPr="006554CC">
        <w:rPr>
          <w:i/>
          <w:lang w:val="fr-BE"/>
        </w:rPr>
        <w:t>.</w:t>
      </w:r>
      <w:r w:rsidRPr="006554CC">
        <w:rPr>
          <w:lang w:val="fr-BE"/>
        </w:rPr>
        <w:t xml:space="preserve"> ; Olivier De France et Nick </w:t>
      </w:r>
      <w:proofErr w:type="spellStart"/>
      <w:r w:rsidRPr="006554CC">
        <w:rPr>
          <w:lang w:val="fr-BE"/>
        </w:rPr>
        <w:t>Witney</w:t>
      </w:r>
      <w:proofErr w:type="spellEnd"/>
      <w:r w:rsidRPr="006554CC">
        <w:rPr>
          <w:lang w:val="fr-BE"/>
        </w:rPr>
        <w:t xml:space="preserve">, </w:t>
      </w:r>
      <w:r w:rsidRPr="006554CC">
        <w:rPr>
          <w:i/>
          <w:lang w:val="fr-BE"/>
        </w:rPr>
        <w:t>Etude comparative des Livres blancs des 27 Etats membres de l’Union européenne : pour la définition d’un cadre européen</w:t>
      </w:r>
      <w:r w:rsidRPr="006554CC">
        <w:rPr>
          <w:lang w:val="fr-BE"/>
        </w:rPr>
        <w:t xml:space="preserve">, Etudes de l’IRSEM n°18, Paris, 2012 ; André Dumoulin, « La sémantique de la stratégie européenne de sécurité. </w:t>
      </w:r>
      <w:r w:rsidRPr="00A32CCC">
        <w:rPr>
          <w:lang w:val="fr-BE"/>
        </w:rPr>
        <w:t xml:space="preserve">Lignes de forces et lectures idéologiques d’un préconcept », dans </w:t>
      </w:r>
      <w:r w:rsidRPr="00A32CCC">
        <w:rPr>
          <w:i/>
          <w:lang w:val="fr-BE"/>
        </w:rPr>
        <w:t>Annuaire français de relations internationales 2005</w:t>
      </w:r>
      <w:r w:rsidRPr="00A32CCC">
        <w:rPr>
          <w:lang w:val="fr-BE"/>
        </w:rPr>
        <w:t xml:space="preserve">, Centre Thucydide, Université de Paris 2, Bruylant, Bruxelles, 2005 ; André Dumoulin, « La relance du Livre blanc européen de la sécurité et de la défense », dans </w:t>
      </w:r>
      <w:r w:rsidRPr="00A32CCC">
        <w:rPr>
          <w:i/>
          <w:lang w:val="fr-BE"/>
        </w:rPr>
        <w:t>DSI</w:t>
      </w:r>
      <w:r w:rsidRPr="00A32CCC">
        <w:rPr>
          <w:lang w:val="fr-BE"/>
        </w:rPr>
        <w:t xml:space="preserve">, Areion, Paris, février 2007 ; Collectif, Report of an Independent </w:t>
      </w:r>
      <w:proofErr w:type="spellStart"/>
      <w:r w:rsidRPr="00A32CCC">
        <w:rPr>
          <w:lang w:val="fr-BE"/>
        </w:rPr>
        <w:t>Task</w:t>
      </w:r>
      <w:proofErr w:type="spellEnd"/>
      <w:r w:rsidRPr="00A32CCC">
        <w:rPr>
          <w:lang w:val="fr-BE"/>
        </w:rPr>
        <w:t xml:space="preserve"> Force, </w:t>
      </w:r>
      <w:r w:rsidRPr="00A32CCC">
        <w:rPr>
          <w:i/>
          <w:lang w:val="fr-BE"/>
        </w:rPr>
        <w:t xml:space="preserve">European </w:t>
      </w:r>
      <w:proofErr w:type="spellStart"/>
      <w:r w:rsidRPr="00A32CCC">
        <w:rPr>
          <w:i/>
          <w:lang w:val="fr-BE"/>
        </w:rPr>
        <w:t>defence</w:t>
      </w:r>
      <w:proofErr w:type="spellEnd"/>
      <w:r w:rsidRPr="00A32CCC">
        <w:rPr>
          <w:i/>
          <w:lang w:val="fr-BE"/>
        </w:rPr>
        <w:t xml:space="preserve">. A </w:t>
      </w:r>
      <w:proofErr w:type="spellStart"/>
      <w:r w:rsidRPr="00A32CCC">
        <w:rPr>
          <w:i/>
          <w:lang w:val="fr-BE"/>
        </w:rPr>
        <w:t>proposal</w:t>
      </w:r>
      <w:proofErr w:type="spellEnd"/>
      <w:r w:rsidRPr="00A32CCC">
        <w:rPr>
          <w:i/>
          <w:lang w:val="fr-BE"/>
        </w:rPr>
        <w:t xml:space="preserve"> for a White Paper</w:t>
      </w:r>
      <w:r w:rsidRPr="00A32CCC">
        <w:rPr>
          <w:lang w:val="fr-BE"/>
        </w:rPr>
        <w:t>, EUISS, Paris, May 2004.</w:t>
      </w:r>
    </w:p>
  </w:footnote>
  <w:footnote w:id="108">
    <w:p w:rsidR="000449D5" w:rsidRPr="006554CC" w:rsidRDefault="000449D5" w:rsidP="000449D5">
      <w:pPr>
        <w:jc w:val="both"/>
        <w:rPr>
          <w:lang w:val="fr-BE"/>
        </w:rPr>
      </w:pPr>
      <w:r>
        <w:rPr>
          <w:rStyle w:val="Caractresdenotedebasdepage"/>
        </w:rPr>
        <w:footnoteRef/>
      </w:r>
      <w:r w:rsidRPr="006554CC">
        <w:rPr>
          <w:lang w:val="fr-BE"/>
        </w:rPr>
        <w:t xml:space="preserve"> André Dumoulin, « Quid d’un Livre blanc européen sur la sécurité et la défense », Séminaire sur la PSDC, École d’officiers de l’Armée de l’Air, Salon-de-Provence, 12 juin 2013.</w:t>
      </w:r>
    </w:p>
  </w:footnote>
  <w:footnote w:id="109">
    <w:p w:rsidR="000449D5" w:rsidRPr="00DA259E" w:rsidRDefault="000449D5" w:rsidP="000449D5">
      <w:pPr>
        <w:jc w:val="both"/>
        <w:rPr>
          <w:lang w:val="fr-BE"/>
        </w:rPr>
      </w:pPr>
      <w:r>
        <w:rPr>
          <w:rStyle w:val="Caractresdenotedebasdepage"/>
        </w:rPr>
        <w:footnoteRef/>
      </w:r>
      <w:r w:rsidRPr="006554CC">
        <w:rPr>
          <w:lang w:val="fr-BE"/>
        </w:rPr>
        <w:t xml:space="preserve"> </w:t>
      </w:r>
      <w:r w:rsidRPr="006554CC">
        <w:rPr>
          <w:i/>
          <w:lang w:val="fr-BE"/>
        </w:rPr>
        <w:t>Cf</w:t>
      </w:r>
      <w:r w:rsidRPr="006554CC">
        <w:rPr>
          <w:lang w:val="fr-BE"/>
        </w:rPr>
        <w:t xml:space="preserve">. </w:t>
      </w:r>
      <w:r w:rsidRPr="006554CC">
        <w:rPr>
          <w:i/>
          <w:lang w:val="fr-BE"/>
        </w:rPr>
        <w:t xml:space="preserve">Communication de la Commission au Parlement européen, au Conseil, au Comité économique et social européen et au Comité des régions. </w:t>
      </w:r>
      <w:r w:rsidRPr="00A32CCC">
        <w:rPr>
          <w:i/>
          <w:lang w:val="fr-BE"/>
        </w:rPr>
        <w:t>Vers un secteur de la défense et de la sécurité plus compétitif et plus efficace</w:t>
      </w:r>
      <w:r w:rsidRPr="00A32CCC">
        <w:rPr>
          <w:lang w:val="fr-BE"/>
        </w:rPr>
        <w:t>, Commission européenne, Bruxelles, 24 juillet 2013.</w:t>
      </w:r>
    </w:p>
  </w:footnote>
  <w:footnote w:id="110">
    <w:p w:rsidR="000449D5" w:rsidRPr="00DA259E" w:rsidRDefault="000449D5" w:rsidP="000449D5">
      <w:pPr>
        <w:jc w:val="both"/>
        <w:rPr>
          <w:lang w:val="fr-BE"/>
        </w:rPr>
      </w:pPr>
      <w:r>
        <w:rPr>
          <w:rStyle w:val="Caractresdenotedebasdepage"/>
        </w:rPr>
        <w:footnoteRef/>
      </w:r>
      <w:r w:rsidRPr="00DA259E">
        <w:rPr>
          <w:lang w:val="fr-BE"/>
        </w:rPr>
        <w:t xml:space="preserve"> Council of the European Union, </w:t>
      </w:r>
      <w:r w:rsidRPr="00DA259E">
        <w:rPr>
          <w:i/>
          <w:lang w:val="fr-BE"/>
        </w:rPr>
        <w:t xml:space="preserve">Joint </w:t>
      </w:r>
      <w:proofErr w:type="spellStart"/>
      <w:r w:rsidRPr="00DA259E">
        <w:rPr>
          <w:i/>
          <w:lang w:val="fr-BE"/>
        </w:rPr>
        <w:t>proposal</w:t>
      </w:r>
      <w:proofErr w:type="spellEnd"/>
      <w:r w:rsidRPr="00DA259E">
        <w:rPr>
          <w:i/>
          <w:lang w:val="fr-BE"/>
        </w:rPr>
        <w:t xml:space="preserve"> for a Council </w:t>
      </w:r>
      <w:proofErr w:type="spellStart"/>
      <w:r w:rsidRPr="00DA259E">
        <w:rPr>
          <w:i/>
          <w:lang w:val="fr-BE"/>
        </w:rPr>
        <w:t>Decision</w:t>
      </w:r>
      <w:proofErr w:type="spellEnd"/>
      <w:r w:rsidRPr="00DA259E">
        <w:rPr>
          <w:i/>
          <w:lang w:val="fr-BE"/>
        </w:rPr>
        <w:t xml:space="preserve"> on the arrangements for the </w:t>
      </w:r>
      <w:proofErr w:type="spellStart"/>
      <w:r w:rsidRPr="00DA259E">
        <w:rPr>
          <w:i/>
          <w:lang w:val="fr-BE"/>
        </w:rPr>
        <w:t>implementation</w:t>
      </w:r>
      <w:proofErr w:type="spellEnd"/>
      <w:r w:rsidRPr="00DA259E">
        <w:rPr>
          <w:i/>
          <w:lang w:val="fr-BE"/>
        </w:rPr>
        <w:t xml:space="preserve"> by the Union of the </w:t>
      </w:r>
      <w:proofErr w:type="spellStart"/>
      <w:r w:rsidRPr="00DA259E">
        <w:rPr>
          <w:i/>
          <w:lang w:val="fr-BE"/>
        </w:rPr>
        <w:t>Solidarity</w:t>
      </w:r>
      <w:proofErr w:type="spellEnd"/>
      <w:r w:rsidRPr="00DA259E">
        <w:rPr>
          <w:i/>
          <w:lang w:val="fr-BE"/>
        </w:rPr>
        <w:t xml:space="preserve"> Clause</w:t>
      </w:r>
      <w:r w:rsidRPr="00DA259E">
        <w:rPr>
          <w:lang w:val="fr-BE"/>
        </w:rPr>
        <w:t xml:space="preserve">, Interinstitutional File: 2012/0370 (NLE), Brussels, 16 </w:t>
      </w:r>
      <w:proofErr w:type="spellStart"/>
      <w:r w:rsidRPr="00DA259E">
        <w:rPr>
          <w:lang w:val="fr-BE"/>
        </w:rPr>
        <w:t>January</w:t>
      </w:r>
      <w:proofErr w:type="spellEnd"/>
      <w:r w:rsidRPr="00DA259E">
        <w:rPr>
          <w:lang w:val="fr-BE"/>
        </w:rPr>
        <w:t xml:space="preserve"> 2013 ; André Dumoulin, </w:t>
      </w:r>
      <w:r w:rsidRPr="00DA259E">
        <w:rPr>
          <w:i/>
          <w:lang w:val="fr-BE"/>
        </w:rPr>
        <w:t xml:space="preserve">De l’interprétation des articles des conditions de solidarité dans l’épreuve face à une agression territoriale dans les champs historiques et présents : les cas de l’Union de l’Europe occidentale, de la PSDC de l’Union et de l’OTAN. Examen des dimensions stratégiques, politiques et juridiques de leurs interactions et évolutions entre 1949 et 2012, </w:t>
      </w:r>
      <w:r w:rsidRPr="00DA259E">
        <w:rPr>
          <w:lang w:val="fr-BE"/>
        </w:rPr>
        <w:t>Intervention lors du colloque international sur 3</w:t>
      </w:r>
      <w:r w:rsidRPr="00DA259E">
        <w:rPr>
          <w:vertAlign w:val="superscript"/>
          <w:lang w:val="fr-BE"/>
        </w:rPr>
        <w:t>es</w:t>
      </w:r>
      <w:r w:rsidRPr="00DA259E">
        <w:rPr>
          <w:lang w:val="fr-BE"/>
        </w:rPr>
        <w:t xml:space="preserve"> journées d’études Frontières : « Espaces frontaliers. Zones de contact, zones de conflit ? », Université de Liège, 25-26 avril 2013.</w:t>
      </w:r>
    </w:p>
  </w:footnote>
  <w:footnote w:id="111">
    <w:p w:rsidR="000449D5" w:rsidRPr="00DA259E" w:rsidRDefault="000449D5" w:rsidP="000449D5">
      <w:pPr>
        <w:jc w:val="both"/>
        <w:rPr>
          <w:lang w:val="fr-BE"/>
        </w:rPr>
      </w:pPr>
      <w:r>
        <w:rPr>
          <w:rStyle w:val="Caractresdenotedebasdepage"/>
        </w:rPr>
        <w:footnoteRef/>
      </w:r>
      <w:r w:rsidRPr="006554CC">
        <w:rPr>
          <w:lang w:val="fr-BE"/>
        </w:rPr>
        <w:t xml:space="preserve"> </w:t>
      </w:r>
      <w:r w:rsidRPr="006554CC">
        <w:rPr>
          <w:i/>
          <w:lang w:val="fr-BE"/>
        </w:rPr>
        <w:t>Cf</w:t>
      </w:r>
      <w:r w:rsidRPr="006554CC">
        <w:rPr>
          <w:lang w:val="fr-BE"/>
        </w:rPr>
        <w:t xml:space="preserve">. à cet égard les nombreux rapports, études et notes sur le thème à plusieurs mois dudit événement. </w:t>
      </w:r>
      <w:r w:rsidRPr="00A32CCC">
        <w:rPr>
          <w:lang w:val="fr-BE"/>
        </w:rPr>
        <w:t>(</w:t>
      </w:r>
      <w:r w:rsidRPr="00A32CCC">
        <w:rPr>
          <w:i/>
          <w:lang w:val="fr-BE"/>
        </w:rPr>
        <w:t>Cf</w:t>
      </w:r>
      <w:r w:rsidRPr="00A32CCC">
        <w:rPr>
          <w:lang w:val="fr-BE"/>
        </w:rPr>
        <w:t xml:space="preserve">. André Dumoulin, </w:t>
      </w:r>
      <w:r w:rsidRPr="00A32CCC">
        <w:rPr>
          <w:i/>
          <w:lang w:val="fr-BE"/>
        </w:rPr>
        <w:t>Enjeux et attentes du sommet PSDC de décembre 2013</w:t>
      </w:r>
      <w:r w:rsidRPr="00A32CCC">
        <w:rPr>
          <w:lang w:val="fr-BE"/>
        </w:rPr>
        <w:t>, E-Note</w:t>
      </w:r>
      <w:r>
        <w:rPr>
          <w:lang w:val="fr-BE"/>
        </w:rPr>
        <w:t xml:space="preserve"> n°12</w:t>
      </w:r>
      <w:r w:rsidRPr="00A32CCC">
        <w:rPr>
          <w:lang w:val="fr-BE"/>
        </w:rPr>
        <w:t xml:space="preserve">, IRSD, Bruxelles, </w:t>
      </w:r>
      <w:r>
        <w:rPr>
          <w:lang w:val="fr-BE"/>
        </w:rPr>
        <w:t xml:space="preserve">18 </w:t>
      </w:r>
      <w:r w:rsidRPr="00A32CCC">
        <w:rPr>
          <w:lang w:val="fr-BE"/>
        </w:rPr>
        <w:t>novembre 2013.</w:t>
      </w:r>
    </w:p>
  </w:footnote>
  <w:footnote w:id="112">
    <w:p w:rsidR="000449D5" w:rsidRPr="00DA259E" w:rsidRDefault="000449D5" w:rsidP="000449D5">
      <w:pPr>
        <w:jc w:val="both"/>
        <w:rPr>
          <w:lang w:val="fr-BE"/>
        </w:rPr>
      </w:pPr>
      <w:r>
        <w:rPr>
          <w:rStyle w:val="Caractresdenotedebasdepage"/>
        </w:rPr>
        <w:footnoteRef/>
      </w:r>
      <w:r>
        <w:t xml:space="preserve"> </w:t>
      </w:r>
      <w:r>
        <w:rPr>
          <w:i/>
        </w:rPr>
        <w:t>Cf</w:t>
      </w:r>
      <w:r>
        <w:t xml:space="preserve">. Steven Van </w:t>
      </w:r>
      <w:proofErr w:type="spellStart"/>
      <w:r>
        <w:t>hecke</w:t>
      </w:r>
      <w:proofErr w:type="spellEnd"/>
      <w:r>
        <w:t xml:space="preserve"> &amp; Peter </w:t>
      </w:r>
      <w:proofErr w:type="spellStart"/>
      <w:r>
        <w:t>Bursens</w:t>
      </w:r>
      <w:proofErr w:type="spellEnd"/>
      <w:r>
        <w:t xml:space="preserve"> (eds.), </w:t>
      </w:r>
      <w:r>
        <w:rPr>
          <w:i/>
        </w:rPr>
        <w:t xml:space="preserve">Readjusting the Council Presidency. </w:t>
      </w:r>
      <w:proofErr w:type="spellStart"/>
      <w:r w:rsidRPr="00A32CCC">
        <w:rPr>
          <w:i/>
          <w:lang w:val="fr-BE"/>
        </w:rPr>
        <w:t>Belgian</w:t>
      </w:r>
      <w:proofErr w:type="spellEnd"/>
      <w:r w:rsidRPr="00A32CCC">
        <w:rPr>
          <w:i/>
          <w:lang w:val="fr-BE"/>
        </w:rPr>
        <w:t xml:space="preserve"> leadership in the EU</w:t>
      </w:r>
      <w:r w:rsidRPr="00A32CCC">
        <w:rPr>
          <w:lang w:val="fr-BE"/>
        </w:rPr>
        <w:t xml:space="preserve">, </w:t>
      </w:r>
      <w:proofErr w:type="spellStart"/>
      <w:r w:rsidRPr="00A32CCC">
        <w:rPr>
          <w:lang w:val="fr-BE"/>
        </w:rPr>
        <w:t>Academic</w:t>
      </w:r>
      <w:proofErr w:type="spellEnd"/>
      <w:r w:rsidRPr="00A32CCC">
        <w:rPr>
          <w:lang w:val="fr-BE"/>
        </w:rPr>
        <w:t xml:space="preserve"> &amp; </w:t>
      </w:r>
      <w:proofErr w:type="spellStart"/>
      <w:r w:rsidRPr="00A32CCC">
        <w:rPr>
          <w:lang w:val="fr-BE"/>
        </w:rPr>
        <w:t>Scientific</w:t>
      </w:r>
      <w:proofErr w:type="spellEnd"/>
      <w:r w:rsidRPr="00A32CCC">
        <w:rPr>
          <w:lang w:val="fr-BE"/>
        </w:rPr>
        <w:t xml:space="preserve"> </w:t>
      </w:r>
      <w:proofErr w:type="spellStart"/>
      <w:r w:rsidRPr="00A32CCC">
        <w:rPr>
          <w:lang w:val="fr-BE"/>
        </w:rPr>
        <w:t>Publishers</w:t>
      </w:r>
      <w:proofErr w:type="spellEnd"/>
      <w:r w:rsidRPr="00A32CCC">
        <w:rPr>
          <w:lang w:val="fr-BE"/>
        </w:rPr>
        <w:t>, Brussel, 2011, pp. 65-77 et 207-242; André Dumoulin, « Bilan de la présidence belge de l’UE en matière PSDC », dans André Dumoulin, Delphine Deschaux-Beaume et Sylvain Paile (</w:t>
      </w:r>
      <w:proofErr w:type="spellStart"/>
      <w:r w:rsidRPr="00A32CCC">
        <w:rPr>
          <w:lang w:val="fr-BE"/>
        </w:rPr>
        <w:t>dir</w:t>
      </w:r>
      <w:proofErr w:type="spellEnd"/>
      <w:r w:rsidRPr="00A32CCC">
        <w:rPr>
          <w:lang w:val="fr-BE"/>
        </w:rPr>
        <w:t xml:space="preserve">.), </w:t>
      </w:r>
      <w:r w:rsidRPr="00A32CCC">
        <w:rPr>
          <w:i/>
          <w:lang w:val="fr-BE"/>
        </w:rPr>
        <w:t>Politiques de communication, médias et défense. L’OTAN et la PSDC : visibilité en Belgique et chez ses voisins</w:t>
      </w:r>
      <w:r w:rsidRPr="00A32CCC">
        <w:rPr>
          <w:lang w:val="fr-BE"/>
        </w:rPr>
        <w:t>, Peter Lang, Bruxelles, 2013.</w:t>
      </w:r>
    </w:p>
  </w:footnote>
  <w:footnote w:id="113">
    <w:p w:rsidR="000449D5" w:rsidRPr="00DA259E" w:rsidRDefault="000449D5" w:rsidP="000449D5">
      <w:pPr>
        <w:jc w:val="both"/>
        <w:rPr>
          <w:lang w:val="fr-BE"/>
        </w:rPr>
      </w:pPr>
      <w:r>
        <w:rPr>
          <w:rStyle w:val="Caractresdenotedebasdepage"/>
        </w:rPr>
        <w:footnoteRef/>
      </w:r>
      <w:r w:rsidRPr="006554CC">
        <w:rPr>
          <w:lang w:val="fr-BE"/>
        </w:rPr>
        <w:t xml:space="preserve"> André Dumoulin, Delphine Deschaux-Beaume et Sylvain Paile (</w:t>
      </w:r>
      <w:proofErr w:type="spellStart"/>
      <w:r w:rsidRPr="006554CC">
        <w:rPr>
          <w:lang w:val="fr-BE"/>
        </w:rPr>
        <w:t>dir</w:t>
      </w:r>
      <w:proofErr w:type="spellEnd"/>
      <w:r w:rsidRPr="006554CC">
        <w:rPr>
          <w:lang w:val="fr-BE"/>
        </w:rPr>
        <w:t xml:space="preserve">.), </w:t>
      </w:r>
      <w:r w:rsidRPr="006554CC">
        <w:rPr>
          <w:i/>
          <w:lang w:val="fr-BE"/>
        </w:rPr>
        <w:t xml:space="preserve">Op. </w:t>
      </w:r>
      <w:proofErr w:type="spellStart"/>
      <w:proofErr w:type="gramStart"/>
      <w:r w:rsidRPr="006554CC">
        <w:rPr>
          <w:i/>
          <w:lang w:val="fr-BE"/>
        </w:rPr>
        <w:t>cit</w:t>
      </w:r>
      <w:proofErr w:type="spellEnd"/>
      <w:proofErr w:type="gramEnd"/>
      <w:r w:rsidRPr="006554CC">
        <w:rPr>
          <w:i/>
          <w:lang w:val="fr-BE"/>
        </w:rPr>
        <w:t>.</w:t>
      </w:r>
    </w:p>
  </w:footnote>
  <w:footnote w:id="114">
    <w:p w:rsidR="000449D5" w:rsidRPr="006554CC" w:rsidRDefault="000449D5" w:rsidP="000449D5">
      <w:pPr>
        <w:jc w:val="both"/>
        <w:rPr>
          <w:lang w:val="fr-BE"/>
        </w:rPr>
      </w:pPr>
      <w:r>
        <w:rPr>
          <w:rStyle w:val="Caractresdenotedebasdepage"/>
        </w:rPr>
        <w:footnoteRef/>
      </w:r>
      <w:r w:rsidRPr="006554CC">
        <w:rPr>
          <w:lang w:val="fr-BE"/>
        </w:rPr>
        <w:t xml:space="preserve"> Observatoire des politiques publiques, sondage IFOP (12 au 14 février 2013) pour Acteurs publics et Ernst &amp; Young, Paris, février 2013.</w:t>
      </w:r>
    </w:p>
  </w:footnote>
  <w:footnote w:id="115">
    <w:p w:rsidR="000449D5" w:rsidRPr="006554CC" w:rsidRDefault="000449D5" w:rsidP="000449D5">
      <w:pPr>
        <w:jc w:val="both"/>
        <w:rPr>
          <w:lang w:val="fr-BE"/>
        </w:rPr>
      </w:pPr>
      <w:r>
        <w:rPr>
          <w:rStyle w:val="Caractresdenotedebasdepage"/>
        </w:rPr>
        <w:footnoteRef/>
      </w:r>
      <w:r w:rsidRPr="006554CC">
        <w:rPr>
          <w:lang w:val="fr-BE"/>
        </w:rPr>
        <w:t xml:space="preserve"> Un autre sondage IFOP pour </w:t>
      </w:r>
      <w:r w:rsidRPr="006554CC">
        <w:rPr>
          <w:i/>
          <w:lang w:val="fr-BE"/>
        </w:rPr>
        <w:t>Le Journal du Dimanche</w:t>
      </w:r>
      <w:r w:rsidRPr="006554CC">
        <w:rPr>
          <w:lang w:val="fr-BE"/>
        </w:rPr>
        <w:t xml:space="preserve"> (12-13 juillet 2013) indique que 67% des Français sont plutôt favorables et tout à fait favorables à la création d’une armée européenne.</w:t>
      </w:r>
    </w:p>
  </w:footnote>
  <w:footnote w:id="116">
    <w:p w:rsidR="00B4237A" w:rsidRPr="007D48CC" w:rsidRDefault="00B4237A" w:rsidP="002D355D">
      <w:pPr>
        <w:jc w:val="both"/>
        <w:rPr>
          <w:lang w:val="fr-BE"/>
        </w:rPr>
      </w:pPr>
      <w:r>
        <w:rPr>
          <w:rStyle w:val="Caractresdenotedebasdepage"/>
        </w:rPr>
        <w:footnoteRef/>
      </w:r>
      <w:r w:rsidRPr="007D48CC">
        <w:rPr>
          <w:lang w:val="fr-BE"/>
        </w:rPr>
        <w:t xml:space="preserve"> Le secrétaire général de l’OTAN a lancé l’initiative de </w:t>
      </w:r>
      <w:r w:rsidRPr="007D48CC">
        <w:rPr>
          <w:i/>
          <w:lang w:val="fr-BE"/>
        </w:rPr>
        <w:t xml:space="preserve">smart </w:t>
      </w:r>
      <w:proofErr w:type="spellStart"/>
      <w:r w:rsidRPr="007D48CC">
        <w:rPr>
          <w:i/>
          <w:lang w:val="fr-BE"/>
        </w:rPr>
        <w:t>defence</w:t>
      </w:r>
      <w:proofErr w:type="spellEnd"/>
      <w:r w:rsidRPr="007D48CC">
        <w:rPr>
          <w:lang w:val="fr-BE"/>
        </w:rPr>
        <w:t xml:space="preserve"> (défense intelligente) visant à optimiser les dépenses militaires des Alliés par le biais de mutualisations, d’acquisitions multinationales et par le financement en commun de capacités alliées. Fondée sur trois principes (coopérations multinationales, spécialisation quand cela fait sens et priorités capacitaires), cette initiative est développée par le Commandement suprême allié pour la transformation (SACT) de l’organisation.</w:t>
      </w:r>
    </w:p>
  </w:footnote>
  <w:footnote w:id="117">
    <w:p w:rsidR="00B4237A" w:rsidRPr="007D48CC" w:rsidRDefault="00B4237A" w:rsidP="002D355D">
      <w:pPr>
        <w:jc w:val="both"/>
        <w:rPr>
          <w:lang w:val="fr-BE"/>
        </w:rPr>
      </w:pPr>
      <w:r>
        <w:rPr>
          <w:rStyle w:val="Caractresdenotedebasdepage"/>
        </w:rPr>
        <w:footnoteRef/>
      </w:r>
      <w:r w:rsidRPr="007D48CC">
        <w:rPr>
          <w:lang w:val="fr-BE"/>
        </w:rPr>
        <w:t xml:space="preserve"> Développée au sein de l’Agence européenne de défense sous l’autorité du Haut représentant pour la politique étrangère et de sécurité commune, l’initiative </w:t>
      </w:r>
      <w:proofErr w:type="spellStart"/>
      <w:r w:rsidRPr="007D48CC">
        <w:rPr>
          <w:i/>
          <w:lang w:val="fr-BE"/>
        </w:rPr>
        <w:t>pooling</w:t>
      </w:r>
      <w:proofErr w:type="spellEnd"/>
      <w:r w:rsidRPr="007D48CC">
        <w:rPr>
          <w:i/>
          <w:lang w:val="fr-BE"/>
        </w:rPr>
        <w:t xml:space="preserve"> and sharing</w:t>
      </w:r>
      <w:r w:rsidRPr="007D48CC">
        <w:rPr>
          <w:lang w:val="fr-BE"/>
        </w:rPr>
        <w:t xml:space="preserve"> (mutualisation et partage) vise à développer la mutualisation et le partage des capacités militaires entre États membres de l’Union européenne. Elle compte parmi ses objectifs la préservation de la base industrielle et technologique de défense européenne et la fédération des efforts de recherche et technologie (R&amp;T) afin de maintenir des capacités européennes robustes.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6"/>
    <w:multiLevelType w:val="multilevel"/>
    <w:tmpl w:val="00000006"/>
    <w:name w:val="WW8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7"/>
    <w:multiLevelType w:val="multilevel"/>
    <w:tmpl w:val="00000007"/>
    <w:name w:val="WW8Num7"/>
    <w:lvl w:ilvl="0">
      <w:start w:val="1"/>
      <w:numFmt w:val="lowerLetter"/>
      <w:lvlText w:val="%1)"/>
      <w:lvlJc w:val="left"/>
      <w:pPr>
        <w:tabs>
          <w:tab w:val="num" w:pos="0"/>
        </w:tabs>
        <w:ind w:left="360" w:hanging="360"/>
      </w:pPr>
      <w:rPr>
        <w:b w:val="0"/>
        <w:sz w:val="24"/>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0"/>
        </w:tabs>
        <w:ind w:left="1440" w:hanging="360"/>
      </w:pPr>
    </w:lvl>
    <w:lvl w:ilvl="2">
      <w:start w:val="1"/>
      <w:numFmt w:val="upperLetter"/>
      <w:lvlText w:val="%2.%3."/>
      <w:lvlJc w:val="left"/>
      <w:pPr>
        <w:tabs>
          <w:tab w:val="num" w:pos="0"/>
        </w:tabs>
        <w:ind w:left="2160" w:hanging="360"/>
      </w:p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B"/>
    <w:multiLevelType w:val="multilevel"/>
    <w:tmpl w:val="0000000B"/>
    <w:name w:val="WW8Num1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C"/>
    <w:multiLevelType w:val="multilevel"/>
    <w:tmpl w:val="0000000C"/>
    <w:name w:val="WW8Num12"/>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4A13F3A"/>
    <w:multiLevelType w:val="multilevel"/>
    <w:tmpl w:val="7964829C"/>
    <w:lvl w:ilvl="0">
      <w:start w:val="1"/>
      <w:numFmt w:val="decimal"/>
      <w:lvlText w:val="%1."/>
      <w:lvlJc w:val="left"/>
      <w:pPr>
        <w:ind w:left="1004"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752C2E"/>
    <w:multiLevelType w:val="hybridMultilevel"/>
    <w:tmpl w:val="1730E2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37D4736"/>
    <w:multiLevelType w:val="hybridMultilevel"/>
    <w:tmpl w:val="539A99FC"/>
    <w:lvl w:ilvl="0" w:tplc="04090001">
      <w:numFmt w:val="bullet"/>
      <w:lvlText w:val=""/>
      <w:lvlJc w:val="left"/>
      <w:pPr>
        <w:tabs>
          <w:tab w:val="num" w:pos="900"/>
        </w:tabs>
        <w:ind w:left="90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CA3116"/>
    <w:multiLevelType w:val="multilevel"/>
    <w:tmpl w:val="688C57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10"/>
        </w:tabs>
        <w:ind w:left="510" w:hanging="51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Titre5"/>
      <w:lvlText w:val="%1.%2."/>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13">
    <w:nsid w:val="21FB4E00"/>
    <w:multiLevelType w:val="hybridMultilevel"/>
    <w:tmpl w:val="F4E0FB42"/>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7F0E4B"/>
    <w:multiLevelType w:val="hybridMultilevel"/>
    <w:tmpl w:val="E96ED2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40C91065"/>
    <w:multiLevelType w:val="hybridMultilevel"/>
    <w:tmpl w:val="631C9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00505E"/>
    <w:multiLevelType w:val="hybridMultilevel"/>
    <w:tmpl w:val="46A0E330"/>
    <w:lvl w:ilvl="0" w:tplc="8750B11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0F2F07"/>
    <w:multiLevelType w:val="hybridMultilevel"/>
    <w:tmpl w:val="A2CA9920"/>
    <w:lvl w:ilvl="0" w:tplc="5D945646">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71E1117C"/>
    <w:multiLevelType w:val="hybridMultilevel"/>
    <w:tmpl w:val="1BACFB8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46C2B84"/>
    <w:multiLevelType w:val="multilevel"/>
    <w:tmpl w:val="0000000C"/>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nsid w:val="7A97458A"/>
    <w:multiLevelType w:val="hybridMultilevel"/>
    <w:tmpl w:val="2ECA5894"/>
    <w:lvl w:ilvl="0" w:tplc="080C0009">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1">
    <w:nsid w:val="7EA9676A"/>
    <w:multiLevelType w:val="multilevel"/>
    <w:tmpl w:val="C2D848F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8"/>
  </w:num>
  <w:num w:numId="3">
    <w:abstractNumId w:val="11"/>
  </w:num>
  <w:num w:numId="4">
    <w:abstractNumId w:val="17"/>
  </w:num>
  <w:num w:numId="5">
    <w:abstractNumId w:val="13"/>
  </w:num>
  <w:num w:numId="6">
    <w:abstractNumId w:val="14"/>
  </w:num>
  <w:num w:numId="7">
    <w:abstractNumId w:val="16"/>
  </w:num>
  <w:num w:numId="8">
    <w:abstractNumId w:val="9"/>
  </w:num>
  <w:num w:numId="9">
    <w:abstractNumId w:val="15"/>
  </w:num>
  <w:num w:numId="10">
    <w:abstractNumId w:val="21"/>
  </w:num>
  <w:num w:numId="11">
    <w:abstractNumId w:val="10"/>
  </w:num>
  <w:num w:numId="12">
    <w:abstractNumId w:val="8"/>
  </w:num>
  <w:num w:numId="13">
    <w:abstractNumId w:val="0"/>
  </w:num>
  <w:num w:numId="14">
    <w:abstractNumId w:val="1"/>
  </w:num>
  <w:num w:numId="15">
    <w:abstractNumId w:val="3"/>
  </w:num>
  <w:num w:numId="16">
    <w:abstractNumId w:val="4"/>
  </w:num>
  <w:num w:numId="17">
    <w:abstractNumId w:val="5"/>
  </w:num>
  <w:num w:numId="18">
    <w:abstractNumId w:val="6"/>
  </w:num>
  <w:num w:numId="19">
    <w:abstractNumId w:val="7"/>
  </w:num>
  <w:num w:numId="20">
    <w:abstractNumId w:val="2"/>
  </w:num>
  <w:num w:numId="21">
    <w:abstractNumId w:val="19"/>
  </w:num>
  <w:num w:numId="22">
    <w:abstractNumId w:val="2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stylePaneFormatFilter w:val="3001"/>
  <w:defaultTabStop w:val="720"/>
  <w:hyphenationZone w:val="425"/>
  <w:evenAndOddHeaders/>
  <w:drawingGridHorizontalSpacing w:val="100"/>
  <w:displayHorizontalDrawingGridEvery w:val="2"/>
  <w:characterSpacingControl w:val="doNotCompress"/>
  <w:hdrShapeDefaults>
    <o:shapedefaults v:ext="edit" spidmax="81922" fillcolor="#ff5050" stroke="f">
      <v:fill color="#ff5050" opacity="26214f" rotate="t" angle="-90" type="gradient"/>
      <v:stroke weight="0" insetpen="t" on="f">
        <o:left v:ext="view" weight="0" insetpen="t"/>
        <o:top v:ext="view" weight="0" insetpen="t"/>
        <o:right v:ext="view" weight="0" insetpen="t"/>
        <o:bottom v:ext="view" weight="0" insetpen="t"/>
      </v:stroke>
      <v:shadow color="#ccc"/>
      <v:textbox inset="2.88pt,2.88pt,2.88pt,2.88pt"/>
      <o:colormru v:ext="edit" colors="#903,#0cf,#f90,#c38f27,#90c,#006,yellow,#d51583"/>
      <o:colormenu v:ext="edit" fillcolor="none [3215]"/>
    </o:shapedefaults>
  </w:hdrShapeDefaults>
  <w:footnotePr>
    <w:footnote w:id="-1"/>
    <w:footnote w:id="0"/>
    <w:footnote w:id="1"/>
  </w:footnotePr>
  <w:endnotePr>
    <w:endnote w:id="-1"/>
    <w:endnote w:id="0"/>
  </w:endnotePr>
  <w:compat/>
  <w:rsids>
    <w:rsidRoot w:val="00E10F4A"/>
    <w:rsid w:val="00001799"/>
    <w:rsid w:val="00001EB4"/>
    <w:rsid w:val="00002A0A"/>
    <w:rsid w:val="00002D7C"/>
    <w:rsid w:val="00004CA8"/>
    <w:rsid w:val="0001021F"/>
    <w:rsid w:val="000158FC"/>
    <w:rsid w:val="0001784A"/>
    <w:rsid w:val="00022819"/>
    <w:rsid w:val="000229B9"/>
    <w:rsid w:val="000229FC"/>
    <w:rsid w:val="00023FD5"/>
    <w:rsid w:val="00024034"/>
    <w:rsid w:val="00024152"/>
    <w:rsid w:val="0002693F"/>
    <w:rsid w:val="00033A2D"/>
    <w:rsid w:val="00033DFE"/>
    <w:rsid w:val="00040837"/>
    <w:rsid w:val="00043E81"/>
    <w:rsid w:val="000449D5"/>
    <w:rsid w:val="000460BC"/>
    <w:rsid w:val="00054085"/>
    <w:rsid w:val="000544CB"/>
    <w:rsid w:val="00055F90"/>
    <w:rsid w:val="000560EB"/>
    <w:rsid w:val="00063FEE"/>
    <w:rsid w:val="00064D12"/>
    <w:rsid w:val="00065D3A"/>
    <w:rsid w:val="00065FC6"/>
    <w:rsid w:val="000675A7"/>
    <w:rsid w:val="00067876"/>
    <w:rsid w:val="00072D0F"/>
    <w:rsid w:val="000735FF"/>
    <w:rsid w:val="00074963"/>
    <w:rsid w:val="00077A3C"/>
    <w:rsid w:val="000800B8"/>
    <w:rsid w:val="000805F6"/>
    <w:rsid w:val="00082F73"/>
    <w:rsid w:val="00086857"/>
    <w:rsid w:val="00086AED"/>
    <w:rsid w:val="0009029E"/>
    <w:rsid w:val="00091B02"/>
    <w:rsid w:val="000923F5"/>
    <w:rsid w:val="00095A33"/>
    <w:rsid w:val="000A1EF3"/>
    <w:rsid w:val="000A2399"/>
    <w:rsid w:val="000A26D5"/>
    <w:rsid w:val="000A2BAB"/>
    <w:rsid w:val="000A4FCB"/>
    <w:rsid w:val="000A59A5"/>
    <w:rsid w:val="000A5B24"/>
    <w:rsid w:val="000A6D29"/>
    <w:rsid w:val="000B0B43"/>
    <w:rsid w:val="000B28F0"/>
    <w:rsid w:val="000B394D"/>
    <w:rsid w:val="000B523D"/>
    <w:rsid w:val="000B5DBA"/>
    <w:rsid w:val="000C21E6"/>
    <w:rsid w:val="000C466F"/>
    <w:rsid w:val="000C7421"/>
    <w:rsid w:val="000C7B0F"/>
    <w:rsid w:val="000D0E0F"/>
    <w:rsid w:val="000D10E9"/>
    <w:rsid w:val="000D1C4C"/>
    <w:rsid w:val="000D6275"/>
    <w:rsid w:val="000D7DDD"/>
    <w:rsid w:val="000E0D3E"/>
    <w:rsid w:val="000E22BA"/>
    <w:rsid w:val="000E3B4E"/>
    <w:rsid w:val="000E523E"/>
    <w:rsid w:val="000E60B3"/>
    <w:rsid w:val="000E63F6"/>
    <w:rsid w:val="000E641D"/>
    <w:rsid w:val="000F3FCF"/>
    <w:rsid w:val="000F46AE"/>
    <w:rsid w:val="000F4D44"/>
    <w:rsid w:val="000F5308"/>
    <w:rsid w:val="000F5ECC"/>
    <w:rsid w:val="00100392"/>
    <w:rsid w:val="00100615"/>
    <w:rsid w:val="0010074B"/>
    <w:rsid w:val="0010196C"/>
    <w:rsid w:val="00103AFA"/>
    <w:rsid w:val="00103EE9"/>
    <w:rsid w:val="00104575"/>
    <w:rsid w:val="001050A0"/>
    <w:rsid w:val="00106D7B"/>
    <w:rsid w:val="00110FF1"/>
    <w:rsid w:val="001114B9"/>
    <w:rsid w:val="001117D2"/>
    <w:rsid w:val="00112BF5"/>
    <w:rsid w:val="00112F1F"/>
    <w:rsid w:val="0011442D"/>
    <w:rsid w:val="00114446"/>
    <w:rsid w:val="00115371"/>
    <w:rsid w:val="001164F4"/>
    <w:rsid w:val="00120102"/>
    <w:rsid w:val="00120F5C"/>
    <w:rsid w:val="00121F2C"/>
    <w:rsid w:val="00122AEC"/>
    <w:rsid w:val="00122C23"/>
    <w:rsid w:val="00123487"/>
    <w:rsid w:val="00124A70"/>
    <w:rsid w:val="001264CD"/>
    <w:rsid w:val="00130721"/>
    <w:rsid w:val="00130B24"/>
    <w:rsid w:val="00130D50"/>
    <w:rsid w:val="00132586"/>
    <w:rsid w:val="001413AD"/>
    <w:rsid w:val="00141D25"/>
    <w:rsid w:val="001427EC"/>
    <w:rsid w:val="00142A18"/>
    <w:rsid w:val="0014379D"/>
    <w:rsid w:val="00145E0D"/>
    <w:rsid w:val="0014665A"/>
    <w:rsid w:val="00147306"/>
    <w:rsid w:val="00151319"/>
    <w:rsid w:val="001529A1"/>
    <w:rsid w:val="001557B9"/>
    <w:rsid w:val="00156FFD"/>
    <w:rsid w:val="001571C2"/>
    <w:rsid w:val="001604F0"/>
    <w:rsid w:val="00160516"/>
    <w:rsid w:val="00161774"/>
    <w:rsid w:val="001618BE"/>
    <w:rsid w:val="00164F03"/>
    <w:rsid w:val="00166DF6"/>
    <w:rsid w:val="00171327"/>
    <w:rsid w:val="00177888"/>
    <w:rsid w:val="00183CA8"/>
    <w:rsid w:val="001854AB"/>
    <w:rsid w:val="0019001E"/>
    <w:rsid w:val="00191818"/>
    <w:rsid w:val="00192D72"/>
    <w:rsid w:val="00192E2A"/>
    <w:rsid w:val="001942AB"/>
    <w:rsid w:val="00197594"/>
    <w:rsid w:val="001A1523"/>
    <w:rsid w:val="001A1EC8"/>
    <w:rsid w:val="001A393C"/>
    <w:rsid w:val="001A5783"/>
    <w:rsid w:val="001A68DF"/>
    <w:rsid w:val="001A69A9"/>
    <w:rsid w:val="001A78CF"/>
    <w:rsid w:val="001B068F"/>
    <w:rsid w:val="001B2385"/>
    <w:rsid w:val="001B244C"/>
    <w:rsid w:val="001B2E4D"/>
    <w:rsid w:val="001B3724"/>
    <w:rsid w:val="001B43C2"/>
    <w:rsid w:val="001B65C3"/>
    <w:rsid w:val="001B6C99"/>
    <w:rsid w:val="001C1FB7"/>
    <w:rsid w:val="001C5ED1"/>
    <w:rsid w:val="001C6FEE"/>
    <w:rsid w:val="001C7A5C"/>
    <w:rsid w:val="001C7CF0"/>
    <w:rsid w:val="001D1375"/>
    <w:rsid w:val="001D1A71"/>
    <w:rsid w:val="001D23ED"/>
    <w:rsid w:val="001D36D4"/>
    <w:rsid w:val="001D671F"/>
    <w:rsid w:val="001D7213"/>
    <w:rsid w:val="001D772C"/>
    <w:rsid w:val="001E0BF8"/>
    <w:rsid w:val="001E0D75"/>
    <w:rsid w:val="001E1435"/>
    <w:rsid w:val="001E1F8C"/>
    <w:rsid w:val="001E1FA0"/>
    <w:rsid w:val="001E33C2"/>
    <w:rsid w:val="001E3BE7"/>
    <w:rsid w:val="001F007E"/>
    <w:rsid w:val="001F4F5F"/>
    <w:rsid w:val="001F5815"/>
    <w:rsid w:val="001F67CB"/>
    <w:rsid w:val="001F772D"/>
    <w:rsid w:val="002019D7"/>
    <w:rsid w:val="002028E7"/>
    <w:rsid w:val="002074BB"/>
    <w:rsid w:val="00215AFB"/>
    <w:rsid w:val="00216676"/>
    <w:rsid w:val="002207EF"/>
    <w:rsid w:val="00222064"/>
    <w:rsid w:val="00224071"/>
    <w:rsid w:val="00225243"/>
    <w:rsid w:val="002253F0"/>
    <w:rsid w:val="00226429"/>
    <w:rsid w:val="002324BF"/>
    <w:rsid w:val="00232AA7"/>
    <w:rsid w:val="00232BC3"/>
    <w:rsid w:val="00232FAD"/>
    <w:rsid w:val="002331F0"/>
    <w:rsid w:val="00233ACD"/>
    <w:rsid w:val="0023685B"/>
    <w:rsid w:val="00237656"/>
    <w:rsid w:val="00237F28"/>
    <w:rsid w:val="00240863"/>
    <w:rsid w:val="0024288F"/>
    <w:rsid w:val="002446C2"/>
    <w:rsid w:val="002454FD"/>
    <w:rsid w:val="002502A6"/>
    <w:rsid w:val="002513E0"/>
    <w:rsid w:val="00251559"/>
    <w:rsid w:val="00252CF9"/>
    <w:rsid w:val="00254A7B"/>
    <w:rsid w:val="00255A56"/>
    <w:rsid w:val="0026114D"/>
    <w:rsid w:val="002657A0"/>
    <w:rsid w:val="002665CF"/>
    <w:rsid w:val="002679B5"/>
    <w:rsid w:val="00270121"/>
    <w:rsid w:val="002704AD"/>
    <w:rsid w:val="0027404A"/>
    <w:rsid w:val="00274EA0"/>
    <w:rsid w:val="00275F83"/>
    <w:rsid w:val="00277CB8"/>
    <w:rsid w:val="0028056A"/>
    <w:rsid w:val="00280573"/>
    <w:rsid w:val="00281DBA"/>
    <w:rsid w:val="00282605"/>
    <w:rsid w:val="00283A43"/>
    <w:rsid w:val="00283B30"/>
    <w:rsid w:val="0028480E"/>
    <w:rsid w:val="00286534"/>
    <w:rsid w:val="002879D7"/>
    <w:rsid w:val="00287EF8"/>
    <w:rsid w:val="002907CC"/>
    <w:rsid w:val="00291C08"/>
    <w:rsid w:val="0029471D"/>
    <w:rsid w:val="0029522B"/>
    <w:rsid w:val="002A16C0"/>
    <w:rsid w:val="002A204F"/>
    <w:rsid w:val="002A20EA"/>
    <w:rsid w:val="002A28CA"/>
    <w:rsid w:val="002A3090"/>
    <w:rsid w:val="002A31BD"/>
    <w:rsid w:val="002A32D1"/>
    <w:rsid w:val="002A691D"/>
    <w:rsid w:val="002A721D"/>
    <w:rsid w:val="002B28B9"/>
    <w:rsid w:val="002B4D15"/>
    <w:rsid w:val="002B5169"/>
    <w:rsid w:val="002B5A2D"/>
    <w:rsid w:val="002B6C33"/>
    <w:rsid w:val="002C3FAC"/>
    <w:rsid w:val="002C3FE4"/>
    <w:rsid w:val="002C64FF"/>
    <w:rsid w:val="002C7E74"/>
    <w:rsid w:val="002D119B"/>
    <w:rsid w:val="002D355D"/>
    <w:rsid w:val="002D5B0A"/>
    <w:rsid w:val="002E144A"/>
    <w:rsid w:val="002E1687"/>
    <w:rsid w:val="002E1727"/>
    <w:rsid w:val="002E3D30"/>
    <w:rsid w:val="002E4C26"/>
    <w:rsid w:val="002E5CD0"/>
    <w:rsid w:val="002E67F6"/>
    <w:rsid w:val="002E7FA1"/>
    <w:rsid w:val="002F0B8C"/>
    <w:rsid w:val="002F435E"/>
    <w:rsid w:val="002F5D9A"/>
    <w:rsid w:val="003009DD"/>
    <w:rsid w:val="00303394"/>
    <w:rsid w:val="00307EC2"/>
    <w:rsid w:val="00310222"/>
    <w:rsid w:val="00310256"/>
    <w:rsid w:val="00310D2A"/>
    <w:rsid w:val="00311AE3"/>
    <w:rsid w:val="0031424E"/>
    <w:rsid w:val="00316555"/>
    <w:rsid w:val="00321F2C"/>
    <w:rsid w:val="003226EC"/>
    <w:rsid w:val="00327589"/>
    <w:rsid w:val="0033058E"/>
    <w:rsid w:val="00330BDB"/>
    <w:rsid w:val="00331359"/>
    <w:rsid w:val="003319ED"/>
    <w:rsid w:val="003328C5"/>
    <w:rsid w:val="00333EB1"/>
    <w:rsid w:val="00334918"/>
    <w:rsid w:val="0033538F"/>
    <w:rsid w:val="00335FA6"/>
    <w:rsid w:val="0033692A"/>
    <w:rsid w:val="00336A98"/>
    <w:rsid w:val="00337DBB"/>
    <w:rsid w:val="00337F61"/>
    <w:rsid w:val="0034099E"/>
    <w:rsid w:val="00340C0A"/>
    <w:rsid w:val="00340EB6"/>
    <w:rsid w:val="003417D7"/>
    <w:rsid w:val="003425AE"/>
    <w:rsid w:val="0034303C"/>
    <w:rsid w:val="00344777"/>
    <w:rsid w:val="00344EAB"/>
    <w:rsid w:val="00345932"/>
    <w:rsid w:val="00346508"/>
    <w:rsid w:val="00351600"/>
    <w:rsid w:val="00351674"/>
    <w:rsid w:val="003517AB"/>
    <w:rsid w:val="00352151"/>
    <w:rsid w:val="0035382F"/>
    <w:rsid w:val="00354F16"/>
    <w:rsid w:val="0035599A"/>
    <w:rsid w:val="003560D8"/>
    <w:rsid w:val="00356CE4"/>
    <w:rsid w:val="003576C2"/>
    <w:rsid w:val="00360B46"/>
    <w:rsid w:val="00361A41"/>
    <w:rsid w:val="00365D70"/>
    <w:rsid w:val="00372504"/>
    <w:rsid w:val="00373CCA"/>
    <w:rsid w:val="003767BC"/>
    <w:rsid w:val="003807BA"/>
    <w:rsid w:val="00381C63"/>
    <w:rsid w:val="00381F31"/>
    <w:rsid w:val="00383997"/>
    <w:rsid w:val="00383A41"/>
    <w:rsid w:val="00384A7F"/>
    <w:rsid w:val="00385336"/>
    <w:rsid w:val="00385635"/>
    <w:rsid w:val="00386C41"/>
    <w:rsid w:val="003870A3"/>
    <w:rsid w:val="00387C45"/>
    <w:rsid w:val="00387D89"/>
    <w:rsid w:val="00390C98"/>
    <w:rsid w:val="00390FE1"/>
    <w:rsid w:val="0039130C"/>
    <w:rsid w:val="003916A9"/>
    <w:rsid w:val="00391EED"/>
    <w:rsid w:val="00391FB8"/>
    <w:rsid w:val="0039488B"/>
    <w:rsid w:val="00394946"/>
    <w:rsid w:val="003950EF"/>
    <w:rsid w:val="00396494"/>
    <w:rsid w:val="003A21E0"/>
    <w:rsid w:val="003A2CE0"/>
    <w:rsid w:val="003A348A"/>
    <w:rsid w:val="003A4D49"/>
    <w:rsid w:val="003A768F"/>
    <w:rsid w:val="003B2221"/>
    <w:rsid w:val="003B3DE7"/>
    <w:rsid w:val="003B7377"/>
    <w:rsid w:val="003C0145"/>
    <w:rsid w:val="003C056A"/>
    <w:rsid w:val="003C6C3D"/>
    <w:rsid w:val="003D120B"/>
    <w:rsid w:val="003D16B6"/>
    <w:rsid w:val="003D4037"/>
    <w:rsid w:val="003D6527"/>
    <w:rsid w:val="003D7C02"/>
    <w:rsid w:val="003E2179"/>
    <w:rsid w:val="003E2AE5"/>
    <w:rsid w:val="003E5215"/>
    <w:rsid w:val="003E5AC9"/>
    <w:rsid w:val="003E5CDC"/>
    <w:rsid w:val="003E5E27"/>
    <w:rsid w:val="003E7BDD"/>
    <w:rsid w:val="003F2804"/>
    <w:rsid w:val="003F41E9"/>
    <w:rsid w:val="003F7309"/>
    <w:rsid w:val="00401B86"/>
    <w:rsid w:val="00402BDA"/>
    <w:rsid w:val="00407063"/>
    <w:rsid w:val="004239BC"/>
    <w:rsid w:val="00430097"/>
    <w:rsid w:val="004305ED"/>
    <w:rsid w:val="00431353"/>
    <w:rsid w:val="00431677"/>
    <w:rsid w:val="004318EE"/>
    <w:rsid w:val="004355CD"/>
    <w:rsid w:val="00437214"/>
    <w:rsid w:val="00441D75"/>
    <w:rsid w:val="0044302A"/>
    <w:rsid w:val="0045022F"/>
    <w:rsid w:val="00450514"/>
    <w:rsid w:val="00451E84"/>
    <w:rsid w:val="0045222E"/>
    <w:rsid w:val="004530F6"/>
    <w:rsid w:val="0045557C"/>
    <w:rsid w:val="004576EB"/>
    <w:rsid w:val="004610DE"/>
    <w:rsid w:val="00462D3E"/>
    <w:rsid w:val="00462FAD"/>
    <w:rsid w:val="00464C37"/>
    <w:rsid w:val="00470B2F"/>
    <w:rsid w:val="00472024"/>
    <w:rsid w:val="00473DDC"/>
    <w:rsid w:val="0047458D"/>
    <w:rsid w:val="00474F08"/>
    <w:rsid w:val="00475442"/>
    <w:rsid w:val="00476B0F"/>
    <w:rsid w:val="00481BF2"/>
    <w:rsid w:val="004851C4"/>
    <w:rsid w:val="00490B56"/>
    <w:rsid w:val="00491167"/>
    <w:rsid w:val="0049217F"/>
    <w:rsid w:val="004A058F"/>
    <w:rsid w:val="004A0638"/>
    <w:rsid w:val="004A0C07"/>
    <w:rsid w:val="004A2781"/>
    <w:rsid w:val="004A2CCB"/>
    <w:rsid w:val="004A3ECE"/>
    <w:rsid w:val="004A424D"/>
    <w:rsid w:val="004A7C2D"/>
    <w:rsid w:val="004B6CBC"/>
    <w:rsid w:val="004C04A2"/>
    <w:rsid w:val="004C1260"/>
    <w:rsid w:val="004C2F7C"/>
    <w:rsid w:val="004C4AB2"/>
    <w:rsid w:val="004C78D4"/>
    <w:rsid w:val="004C7F8F"/>
    <w:rsid w:val="004D1735"/>
    <w:rsid w:val="004D34E9"/>
    <w:rsid w:val="004D3A73"/>
    <w:rsid w:val="004D3C3F"/>
    <w:rsid w:val="004D542A"/>
    <w:rsid w:val="004D5647"/>
    <w:rsid w:val="004D6474"/>
    <w:rsid w:val="004E16BD"/>
    <w:rsid w:val="004E1A08"/>
    <w:rsid w:val="004E1BDA"/>
    <w:rsid w:val="004E41FC"/>
    <w:rsid w:val="004E6D41"/>
    <w:rsid w:val="004E763F"/>
    <w:rsid w:val="004F2562"/>
    <w:rsid w:val="004F6DBA"/>
    <w:rsid w:val="004F7785"/>
    <w:rsid w:val="00503D3E"/>
    <w:rsid w:val="0050539D"/>
    <w:rsid w:val="00506DAF"/>
    <w:rsid w:val="005072AB"/>
    <w:rsid w:val="00510F41"/>
    <w:rsid w:val="00513043"/>
    <w:rsid w:val="00514A4A"/>
    <w:rsid w:val="00517618"/>
    <w:rsid w:val="005253AE"/>
    <w:rsid w:val="00525FCB"/>
    <w:rsid w:val="005308C7"/>
    <w:rsid w:val="0053172E"/>
    <w:rsid w:val="00532302"/>
    <w:rsid w:val="005344EE"/>
    <w:rsid w:val="00537C29"/>
    <w:rsid w:val="00543C67"/>
    <w:rsid w:val="00546639"/>
    <w:rsid w:val="0054718C"/>
    <w:rsid w:val="00550226"/>
    <w:rsid w:val="005516DD"/>
    <w:rsid w:val="00551BA3"/>
    <w:rsid w:val="00553757"/>
    <w:rsid w:val="00555B11"/>
    <w:rsid w:val="00555B69"/>
    <w:rsid w:val="00555C97"/>
    <w:rsid w:val="00563491"/>
    <w:rsid w:val="005644FA"/>
    <w:rsid w:val="005674B4"/>
    <w:rsid w:val="005705D9"/>
    <w:rsid w:val="0057255A"/>
    <w:rsid w:val="0057510C"/>
    <w:rsid w:val="00575D0E"/>
    <w:rsid w:val="005761BE"/>
    <w:rsid w:val="00577B72"/>
    <w:rsid w:val="005816D8"/>
    <w:rsid w:val="005826D9"/>
    <w:rsid w:val="005830EC"/>
    <w:rsid w:val="005842F6"/>
    <w:rsid w:val="00587494"/>
    <w:rsid w:val="00592F59"/>
    <w:rsid w:val="0059474F"/>
    <w:rsid w:val="00594C1F"/>
    <w:rsid w:val="00595BFC"/>
    <w:rsid w:val="005968BC"/>
    <w:rsid w:val="005A10DF"/>
    <w:rsid w:val="005B043A"/>
    <w:rsid w:val="005B1A2D"/>
    <w:rsid w:val="005B2C2A"/>
    <w:rsid w:val="005B4058"/>
    <w:rsid w:val="005B601F"/>
    <w:rsid w:val="005C170E"/>
    <w:rsid w:val="005C1E7A"/>
    <w:rsid w:val="005C2385"/>
    <w:rsid w:val="005C568C"/>
    <w:rsid w:val="005C74DE"/>
    <w:rsid w:val="005D124F"/>
    <w:rsid w:val="005D3448"/>
    <w:rsid w:val="005D3D15"/>
    <w:rsid w:val="005D51FA"/>
    <w:rsid w:val="005D7C1F"/>
    <w:rsid w:val="005E0336"/>
    <w:rsid w:val="005E47C1"/>
    <w:rsid w:val="005E4954"/>
    <w:rsid w:val="005E7C08"/>
    <w:rsid w:val="005F3DB4"/>
    <w:rsid w:val="005F56FC"/>
    <w:rsid w:val="005F5D7D"/>
    <w:rsid w:val="005F79B2"/>
    <w:rsid w:val="006001C8"/>
    <w:rsid w:val="0060156E"/>
    <w:rsid w:val="00603254"/>
    <w:rsid w:val="006037B7"/>
    <w:rsid w:val="00604FF9"/>
    <w:rsid w:val="006057BF"/>
    <w:rsid w:val="006134FB"/>
    <w:rsid w:val="00614CDC"/>
    <w:rsid w:val="00620670"/>
    <w:rsid w:val="0062265A"/>
    <w:rsid w:val="00623BAF"/>
    <w:rsid w:val="00623EE7"/>
    <w:rsid w:val="00625F4C"/>
    <w:rsid w:val="00626A48"/>
    <w:rsid w:val="00630982"/>
    <w:rsid w:val="00633034"/>
    <w:rsid w:val="006339C1"/>
    <w:rsid w:val="00635516"/>
    <w:rsid w:val="00640478"/>
    <w:rsid w:val="00640D31"/>
    <w:rsid w:val="00642067"/>
    <w:rsid w:val="00644810"/>
    <w:rsid w:val="0064481C"/>
    <w:rsid w:val="0064595D"/>
    <w:rsid w:val="00650A0E"/>
    <w:rsid w:val="00653204"/>
    <w:rsid w:val="00653FCF"/>
    <w:rsid w:val="00654613"/>
    <w:rsid w:val="006554CC"/>
    <w:rsid w:val="00656D19"/>
    <w:rsid w:val="00657F3B"/>
    <w:rsid w:val="006606DF"/>
    <w:rsid w:val="00660E36"/>
    <w:rsid w:val="006616EE"/>
    <w:rsid w:val="00665719"/>
    <w:rsid w:val="0066577B"/>
    <w:rsid w:val="0066668B"/>
    <w:rsid w:val="006702AC"/>
    <w:rsid w:val="00671273"/>
    <w:rsid w:val="006720E6"/>
    <w:rsid w:val="00681293"/>
    <w:rsid w:val="00681DD9"/>
    <w:rsid w:val="006856FE"/>
    <w:rsid w:val="006915E3"/>
    <w:rsid w:val="00691E1A"/>
    <w:rsid w:val="0069372F"/>
    <w:rsid w:val="006950AE"/>
    <w:rsid w:val="00695650"/>
    <w:rsid w:val="006A1928"/>
    <w:rsid w:val="006A448F"/>
    <w:rsid w:val="006A4772"/>
    <w:rsid w:val="006A51C5"/>
    <w:rsid w:val="006A672E"/>
    <w:rsid w:val="006A7F19"/>
    <w:rsid w:val="006B120A"/>
    <w:rsid w:val="006B264B"/>
    <w:rsid w:val="006B2E9C"/>
    <w:rsid w:val="006C2A64"/>
    <w:rsid w:val="006C3D0A"/>
    <w:rsid w:val="006C69BD"/>
    <w:rsid w:val="006D08AD"/>
    <w:rsid w:val="006D1BEF"/>
    <w:rsid w:val="006D3025"/>
    <w:rsid w:val="006D3B3C"/>
    <w:rsid w:val="006D4091"/>
    <w:rsid w:val="006D44FB"/>
    <w:rsid w:val="006D5F48"/>
    <w:rsid w:val="006D62CA"/>
    <w:rsid w:val="006D67A8"/>
    <w:rsid w:val="006D7074"/>
    <w:rsid w:val="006E0460"/>
    <w:rsid w:val="006E177F"/>
    <w:rsid w:val="006E2128"/>
    <w:rsid w:val="006E26B0"/>
    <w:rsid w:val="006E367F"/>
    <w:rsid w:val="006E64FA"/>
    <w:rsid w:val="006E7193"/>
    <w:rsid w:val="006F0322"/>
    <w:rsid w:val="006F0589"/>
    <w:rsid w:val="006F2BD2"/>
    <w:rsid w:val="006F329B"/>
    <w:rsid w:val="006F35F0"/>
    <w:rsid w:val="006F569F"/>
    <w:rsid w:val="00700376"/>
    <w:rsid w:val="00701580"/>
    <w:rsid w:val="00702E58"/>
    <w:rsid w:val="00703D52"/>
    <w:rsid w:val="007072B7"/>
    <w:rsid w:val="007124EA"/>
    <w:rsid w:val="00713347"/>
    <w:rsid w:val="00715315"/>
    <w:rsid w:val="00715D4B"/>
    <w:rsid w:val="00720141"/>
    <w:rsid w:val="00721280"/>
    <w:rsid w:val="00730770"/>
    <w:rsid w:val="0073109F"/>
    <w:rsid w:val="00731300"/>
    <w:rsid w:val="007317E3"/>
    <w:rsid w:val="007338C6"/>
    <w:rsid w:val="0073428D"/>
    <w:rsid w:val="007402F2"/>
    <w:rsid w:val="00740658"/>
    <w:rsid w:val="00740E7E"/>
    <w:rsid w:val="00743BB4"/>
    <w:rsid w:val="00750B9B"/>
    <w:rsid w:val="00751F76"/>
    <w:rsid w:val="00756B04"/>
    <w:rsid w:val="00761FAD"/>
    <w:rsid w:val="00763979"/>
    <w:rsid w:val="0076482E"/>
    <w:rsid w:val="0076561B"/>
    <w:rsid w:val="00765A3E"/>
    <w:rsid w:val="007663F9"/>
    <w:rsid w:val="00767887"/>
    <w:rsid w:val="007706DB"/>
    <w:rsid w:val="0077191D"/>
    <w:rsid w:val="007725EB"/>
    <w:rsid w:val="007740D0"/>
    <w:rsid w:val="00774261"/>
    <w:rsid w:val="00775AB6"/>
    <w:rsid w:val="00782F0C"/>
    <w:rsid w:val="00784154"/>
    <w:rsid w:val="007851EA"/>
    <w:rsid w:val="00785311"/>
    <w:rsid w:val="00787129"/>
    <w:rsid w:val="007871B4"/>
    <w:rsid w:val="0079080B"/>
    <w:rsid w:val="00791B64"/>
    <w:rsid w:val="00796796"/>
    <w:rsid w:val="00796A85"/>
    <w:rsid w:val="00797311"/>
    <w:rsid w:val="00797C3E"/>
    <w:rsid w:val="00797ED1"/>
    <w:rsid w:val="007A056F"/>
    <w:rsid w:val="007A3D0A"/>
    <w:rsid w:val="007A54F4"/>
    <w:rsid w:val="007A57FC"/>
    <w:rsid w:val="007A681E"/>
    <w:rsid w:val="007A7D89"/>
    <w:rsid w:val="007B0E8A"/>
    <w:rsid w:val="007B2BD8"/>
    <w:rsid w:val="007B5FC4"/>
    <w:rsid w:val="007B7339"/>
    <w:rsid w:val="007B73A4"/>
    <w:rsid w:val="007C5DAF"/>
    <w:rsid w:val="007C7967"/>
    <w:rsid w:val="007C7A71"/>
    <w:rsid w:val="007C7FA8"/>
    <w:rsid w:val="007D0132"/>
    <w:rsid w:val="007D2627"/>
    <w:rsid w:val="007D3FE5"/>
    <w:rsid w:val="007D48CC"/>
    <w:rsid w:val="007D612B"/>
    <w:rsid w:val="007E1C02"/>
    <w:rsid w:val="007E233B"/>
    <w:rsid w:val="007E3252"/>
    <w:rsid w:val="007E5B3C"/>
    <w:rsid w:val="007E6C35"/>
    <w:rsid w:val="007F1ADB"/>
    <w:rsid w:val="007F39FF"/>
    <w:rsid w:val="007F4439"/>
    <w:rsid w:val="007F58BD"/>
    <w:rsid w:val="007F617F"/>
    <w:rsid w:val="007F7F52"/>
    <w:rsid w:val="008003B1"/>
    <w:rsid w:val="008030A7"/>
    <w:rsid w:val="008045EA"/>
    <w:rsid w:val="00804C9D"/>
    <w:rsid w:val="008056C7"/>
    <w:rsid w:val="00806D98"/>
    <w:rsid w:val="0080797B"/>
    <w:rsid w:val="00807E0E"/>
    <w:rsid w:val="00810D1F"/>
    <w:rsid w:val="0081176C"/>
    <w:rsid w:val="00815FF4"/>
    <w:rsid w:val="00816DDE"/>
    <w:rsid w:val="0082070B"/>
    <w:rsid w:val="008211F8"/>
    <w:rsid w:val="008218EF"/>
    <w:rsid w:val="00821CD2"/>
    <w:rsid w:val="00822D98"/>
    <w:rsid w:val="00824A5D"/>
    <w:rsid w:val="00826EB0"/>
    <w:rsid w:val="00826FFA"/>
    <w:rsid w:val="00827DC7"/>
    <w:rsid w:val="0083261C"/>
    <w:rsid w:val="008346A3"/>
    <w:rsid w:val="00834C5A"/>
    <w:rsid w:val="008353D2"/>
    <w:rsid w:val="00835B65"/>
    <w:rsid w:val="008360F8"/>
    <w:rsid w:val="00836AAB"/>
    <w:rsid w:val="008417CD"/>
    <w:rsid w:val="008422D0"/>
    <w:rsid w:val="008437BD"/>
    <w:rsid w:val="00843FB1"/>
    <w:rsid w:val="008474E6"/>
    <w:rsid w:val="00850203"/>
    <w:rsid w:val="0085043E"/>
    <w:rsid w:val="00852A31"/>
    <w:rsid w:val="00853401"/>
    <w:rsid w:val="0085411C"/>
    <w:rsid w:val="0085734D"/>
    <w:rsid w:val="00857E78"/>
    <w:rsid w:val="00860D6F"/>
    <w:rsid w:val="00862933"/>
    <w:rsid w:val="008632B6"/>
    <w:rsid w:val="0086397A"/>
    <w:rsid w:val="008646E4"/>
    <w:rsid w:val="0086474A"/>
    <w:rsid w:val="0086482C"/>
    <w:rsid w:val="00864C96"/>
    <w:rsid w:val="0086753A"/>
    <w:rsid w:val="00867D83"/>
    <w:rsid w:val="008717B0"/>
    <w:rsid w:val="00874AE2"/>
    <w:rsid w:val="008764DC"/>
    <w:rsid w:val="00881B75"/>
    <w:rsid w:val="00882617"/>
    <w:rsid w:val="00882B8A"/>
    <w:rsid w:val="00882EDF"/>
    <w:rsid w:val="00887250"/>
    <w:rsid w:val="00887771"/>
    <w:rsid w:val="008949A1"/>
    <w:rsid w:val="00895141"/>
    <w:rsid w:val="00895205"/>
    <w:rsid w:val="00895F56"/>
    <w:rsid w:val="00896F90"/>
    <w:rsid w:val="008A00EA"/>
    <w:rsid w:val="008A0567"/>
    <w:rsid w:val="008A0A75"/>
    <w:rsid w:val="008A1A65"/>
    <w:rsid w:val="008A248B"/>
    <w:rsid w:val="008A4219"/>
    <w:rsid w:val="008A4379"/>
    <w:rsid w:val="008A4F83"/>
    <w:rsid w:val="008A66B3"/>
    <w:rsid w:val="008A70A5"/>
    <w:rsid w:val="008A7533"/>
    <w:rsid w:val="008B144E"/>
    <w:rsid w:val="008B1E84"/>
    <w:rsid w:val="008C287F"/>
    <w:rsid w:val="008C3D47"/>
    <w:rsid w:val="008C58C6"/>
    <w:rsid w:val="008C698A"/>
    <w:rsid w:val="008C7176"/>
    <w:rsid w:val="008C7703"/>
    <w:rsid w:val="008D39C3"/>
    <w:rsid w:val="008D4B3F"/>
    <w:rsid w:val="008E084B"/>
    <w:rsid w:val="008E255D"/>
    <w:rsid w:val="008E538E"/>
    <w:rsid w:val="008E5C79"/>
    <w:rsid w:val="008E5DFC"/>
    <w:rsid w:val="008E6345"/>
    <w:rsid w:val="008E684C"/>
    <w:rsid w:val="008E69C5"/>
    <w:rsid w:val="008E7B6F"/>
    <w:rsid w:val="008F21A9"/>
    <w:rsid w:val="008F4510"/>
    <w:rsid w:val="00900E8F"/>
    <w:rsid w:val="00904D6C"/>
    <w:rsid w:val="00904F1C"/>
    <w:rsid w:val="00905835"/>
    <w:rsid w:val="009058E2"/>
    <w:rsid w:val="00906E5A"/>
    <w:rsid w:val="009075F7"/>
    <w:rsid w:val="0090774F"/>
    <w:rsid w:val="00910062"/>
    <w:rsid w:val="00911CB0"/>
    <w:rsid w:val="009123B4"/>
    <w:rsid w:val="009217EE"/>
    <w:rsid w:val="0092266C"/>
    <w:rsid w:val="00924110"/>
    <w:rsid w:val="00925297"/>
    <w:rsid w:val="00925E2F"/>
    <w:rsid w:val="00925EF4"/>
    <w:rsid w:val="00926F40"/>
    <w:rsid w:val="00927D4F"/>
    <w:rsid w:val="00931501"/>
    <w:rsid w:val="00931817"/>
    <w:rsid w:val="00931851"/>
    <w:rsid w:val="00931EC6"/>
    <w:rsid w:val="0093466A"/>
    <w:rsid w:val="00934BEE"/>
    <w:rsid w:val="00936562"/>
    <w:rsid w:val="009439FA"/>
    <w:rsid w:val="00944EFC"/>
    <w:rsid w:val="00945EF1"/>
    <w:rsid w:val="00947CF0"/>
    <w:rsid w:val="00951816"/>
    <w:rsid w:val="00960CCD"/>
    <w:rsid w:val="00961130"/>
    <w:rsid w:val="00967917"/>
    <w:rsid w:val="0097077F"/>
    <w:rsid w:val="009715D2"/>
    <w:rsid w:val="0097165D"/>
    <w:rsid w:val="009774D8"/>
    <w:rsid w:val="00980C71"/>
    <w:rsid w:val="009821CA"/>
    <w:rsid w:val="0098302A"/>
    <w:rsid w:val="00984FD4"/>
    <w:rsid w:val="00986A63"/>
    <w:rsid w:val="0098788E"/>
    <w:rsid w:val="00987A3B"/>
    <w:rsid w:val="00991D45"/>
    <w:rsid w:val="009921BA"/>
    <w:rsid w:val="00992777"/>
    <w:rsid w:val="00993551"/>
    <w:rsid w:val="00994CF9"/>
    <w:rsid w:val="00995A07"/>
    <w:rsid w:val="00996E66"/>
    <w:rsid w:val="009A0A60"/>
    <w:rsid w:val="009A0D7A"/>
    <w:rsid w:val="009A1AEB"/>
    <w:rsid w:val="009A22BF"/>
    <w:rsid w:val="009A2DD9"/>
    <w:rsid w:val="009A3FB7"/>
    <w:rsid w:val="009B2298"/>
    <w:rsid w:val="009B2CB0"/>
    <w:rsid w:val="009B4D63"/>
    <w:rsid w:val="009B7FEE"/>
    <w:rsid w:val="009C0364"/>
    <w:rsid w:val="009C0E45"/>
    <w:rsid w:val="009C2AE2"/>
    <w:rsid w:val="009C30D4"/>
    <w:rsid w:val="009D035D"/>
    <w:rsid w:val="009D0CBA"/>
    <w:rsid w:val="009D253A"/>
    <w:rsid w:val="009D3A21"/>
    <w:rsid w:val="009D5F32"/>
    <w:rsid w:val="009D60E3"/>
    <w:rsid w:val="009D6429"/>
    <w:rsid w:val="009E0F2C"/>
    <w:rsid w:val="009E16A5"/>
    <w:rsid w:val="009E1BD9"/>
    <w:rsid w:val="009E5056"/>
    <w:rsid w:val="009E51CC"/>
    <w:rsid w:val="009E60EB"/>
    <w:rsid w:val="009E6A16"/>
    <w:rsid w:val="009E7581"/>
    <w:rsid w:val="009E7E63"/>
    <w:rsid w:val="009F2A8D"/>
    <w:rsid w:val="009F4CCF"/>
    <w:rsid w:val="009F517C"/>
    <w:rsid w:val="009F6355"/>
    <w:rsid w:val="009F6658"/>
    <w:rsid w:val="00A006A6"/>
    <w:rsid w:val="00A007C4"/>
    <w:rsid w:val="00A017AA"/>
    <w:rsid w:val="00A02EA5"/>
    <w:rsid w:val="00A040F6"/>
    <w:rsid w:val="00A05750"/>
    <w:rsid w:val="00A10456"/>
    <w:rsid w:val="00A10628"/>
    <w:rsid w:val="00A12B0D"/>
    <w:rsid w:val="00A12F2E"/>
    <w:rsid w:val="00A13FC1"/>
    <w:rsid w:val="00A14EF6"/>
    <w:rsid w:val="00A166B3"/>
    <w:rsid w:val="00A1754F"/>
    <w:rsid w:val="00A20EA4"/>
    <w:rsid w:val="00A20FB5"/>
    <w:rsid w:val="00A214C1"/>
    <w:rsid w:val="00A21A25"/>
    <w:rsid w:val="00A22A05"/>
    <w:rsid w:val="00A23871"/>
    <w:rsid w:val="00A267CB"/>
    <w:rsid w:val="00A27288"/>
    <w:rsid w:val="00A27554"/>
    <w:rsid w:val="00A276F9"/>
    <w:rsid w:val="00A300A3"/>
    <w:rsid w:val="00A302F5"/>
    <w:rsid w:val="00A32CCC"/>
    <w:rsid w:val="00A33DC0"/>
    <w:rsid w:val="00A3551A"/>
    <w:rsid w:val="00A35647"/>
    <w:rsid w:val="00A3784C"/>
    <w:rsid w:val="00A37FE4"/>
    <w:rsid w:val="00A423D0"/>
    <w:rsid w:val="00A427CB"/>
    <w:rsid w:val="00A44482"/>
    <w:rsid w:val="00A51DD9"/>
    <w:rsid w:val="00A5256C"/>
    <w:rsid w:val="00A52A82"/>
    <w:rsid w:val="00A52FB1"/>
    <w:rsid w:val="00A53D35"/>
    <w:rsid w:val="00A55D9A"/>
    <w:rsid w:val="00A55FDC"/>
    <w:rsid w:val="00A604FC"/>
    <w:rsid w:val="00A60E68"/>
    <w:rsid w:val="00A63B98"/>
    <w:rsid w:val="00A63E84"/>
    <w:rsid w:val="00A653EF"/>
    <w:rsid w:val="00A70869"/>
    <w:rsid w:val="00A70B3E"/>
    <w:rsid w:val="00A70DB5"/>
    <w:rsid w:val="00A72031"/>
    <w:rsid w:val="00A73C44"/>
    <w:rsid w:val="00A75496"/>
    <w:rsid w:val="00A761F2"/>
    <w:rsid w:val="00A772ED"/>
    <w:rsid w:val="00A77D1A"/>
    <w:rsid w:val="00A80009"/>
    <w:rsid w:val="00A80B97"/>
    <w:rsid w:val="00A838D3"/>
    <w:rsid w:val="00A83E2D"/>
    <w:rsid w:val="00A84707"/>
    <w:rsid w:val="00A84B0F"/>
    <w:rsid w:val="00A852DB"/>
    <w:rsid w:val="00A8652B"/>
    <w:rsid w:val="00A90411"/>
    <w:rsid w:val="00A90630"/>
    <w:rsid w:val="00A90687"/>
    <w:rsid w:val="00A90B6D"/>
    <w:rsid w:val="00A9130C"/>
    <w:rsid w:val="00A91458"/>
    <w:rsid w:val="00A915A0"/>
    <w:rsid w:val="00A924B7"/>
    <w:rsid w:val="00A9284F"/>
    <w:rsid w:val="00A934C0"/>
    <w:rsid w:val="00A93652"/>
    <w:rsid w:val="00A953FC"/>
    <w:rsid w:val="00A955D1"/>
    <w:rsid w:val="00AA2908"/>
    <w:rsid w:val="00AA3765"/>
    <w:rsid w:val="00AA4AC3"/>
    <w:rsid w:val="00AA4EF0"/>
    <w:rsid w:val="00AA60B2"/>
    <w:rsid w:val="00AB16DF"/>
    <w:rsid w:val="00AB2508"/>
    <w:rsid w:val="00AB2C7B"/>
    <w:rsid w:val="00AB320D"/>
    <w:rsid w:val="00AB4BDB"/>
    <w:rsid w:val="00AB506E"/>
    <w:rsid w:val="00AB65E2"/>
    <w:rsid w:val="00AC116A"/>
    <w:rsid w:val="00AC311D"/>
    <w:rsid w:val="00AC42F5"/>
    <w:rsid w:val="00AD42C1"/>
    <w:rsid w:val="00AD5499"/>
    <w:rsid w:val="00AD550B"/>
    <w:rsid w:val="00AD7712"/>
    <w:rsid w:val="00AD7D80"/>
    <w:rsid w:val="00AE2561"/>
    <w:rsid w:val="00AE4252"/>
    <w:rsid w:val="00AE52EA"/>
    <w:rsid w:val="00AE5AA2"/>
    <w:rsid w:val="00AE7EAE"/>
    <w:rsid w:val="00AF18BD"/>
    <w:rsid w:val="00AF2AD6"/>
    <w:rsid w:val="00AF3F42"/>
    <w:rsid w:val="00B00A29"/>
    <w:rsid w:val="00B02EB6"/>
    <w:rsid w:val="00B02FB9"/>
    <w:rsid w:val="00B04060"/>
    <w:rsid w:val="00B061A8"/>
    <w:rsid w:val="00B12C7C"/>
    <w:rsid w:val="00B13CC9"/>
    <w:rsid w:val="00B144EE"/>
    <w:rsid w:val="00B14654"/>
    <w:rsid w:val="00B15A57"/>
    <w:rsid w:val="00B15E3E"/>
    <w:rsid w:val="00B218EF"/>
    <w:rsid w:val="00B25DA9"/>
    <w:rsid w:val="00B309A7"/>
    <w:rsid w:val="00B340CE"/>
    <w:rsid w:val="00B36433"/>
    <w:rsid w:val="00B40AF2"/>
    <w:rsid w:val="00B4237A"/>
    <w:rsid w:val="00B4325C"/>
    <w:rsid w:val="00B43A32"/>
    <w:rsid w:val="00B44D2F"/>
    <w:rsid w:val="00B556BD"/>
    <w:rsid w:val="00B578F8"/>
    <w:rsid w:val="00B650D8"/>
    <w:rsid w:val="00B71833"/>
    <w:rsid w:val="00B736E9"/>
    <w:rsid w:val="00B75EDC"/>
    <w:rsid w:val="00B765A7"/>
    <w:rsid w:val="00B80F94"/>
    <w:rsid w:val="00B8163C"/>
    <w:rsid w:val="00B82279"/>
    <w:rsid w:val="00B84A74"/>
    <w:rsid w:val="00B86838"/>
    <w:rsid w:val="00B87CCF"/>
    <w:rsid w:val="00B9218E"/>
    <w:rsid w:val="00B97085"/>
    <w:rsid w:val="00BA1597"/>
    <w:rsid w:val="00BA3825"/>
    <w:rsid w:val="00BA41B4"/>
    <w:rsid w:val="00BA48EF"/>
    <w:rsid w:val="00BA5A3D"/>
    <w:rsid w:val="00BA7111"/>
    <w:rsid w:val="00BA79F7"/>
    <w:rsid w:val="00BB1A31"/>
    <w:rsid w:val="00BB1B5C"/>
    <w:rsid w:val="00BB2983"/>
    <w:rsid w:val="00BB3F3D"/>
    <w:rsid w:val="00BB53BD"/>
    <w:rsid w:val="00BB6188"/>
    <w:rsid w:val="00BC0E67"/>
    <w:rsid w:val="00BC62DF"/>
    <w:rsid w:val="00BD1766"/>
    <w:rsid w:val="00BD2F83"/>
    <w:rsid w:val="00BD47AD"/>
    <w:rsid w:val="00BD667A"/>
    <w:rsid w:val="00BE3369"/>
    <w:rsid w:val="00BE37CB"/>
    <w:rsid w:val="00BE561E"/>
    <w:rsid w:val="00BE6669"/>
    <w:rsid w:val="00BE7131"/>
    <w:rsid w:val="00BF4C5A"/>
    <w:rsid w:val="00BF5AEC"/>
    <w:rsid w:val="00BF705D"/>
    <w:rsid w:val="00C011FA"/>
    <w:rsid w:val="00C0148D"/>
    <w:rsid w:val="00C021DF"/>
    <w:rsid w:val="00C03177"/>
    <w:rsid w:val="00C06489"/>
    <w:rsid w:val="00C104FF"/>
    <w:rsid w:val="00C1248F"/>
    <w:rsid w:val="00C13988"/>
    <w:rsid w:val="00C14744"/>
    <w:rsid w:val="00C1631C"/>
    <w:rsid w:val="00C1695D"/>
    <w:rsid w:val="00C21F7C"/>
    <w:rsid w:val="00C32129"/>
    <w:rsid w:val="00C3717A"/>
    <w:rsid w:val="00C428E0"/>
    <w:rsid w:val="00C43273"/>
    <w:rsid w:val="00C43F8A"/>
    <w:rsid w:val="00C44F38"/>
    <w:rsid w:val="00C46F2C"/>
    <w:rsid w:val="00C62100"/>
    <w:rsid w:val="00C63AD1"/>
    <w:rsid w:val="00C650A6"/>
    <w:rsid w:val="00C65D26"/>
    <w:rsid w:val="00C67EA4"/>
    <w:rsid w:val="00C749DB"/>
    <w:rsid w:val="00C74DA1"/>
    <w:rsid w:val="00C765A6"/>
    <w:rsid w:val="00C7688C"/>
    <w:rsid w:val="00C77524"/>
    <w:rsid w:val="00C77BFE"/>
    <w:rsid w:val="00C82F11"/>
    <w:rsid w:val="00C833D5"/>
    <w:rsid w:val="00C83C67"/>
    <w:rsid w:val="00C84C03"/>
    <w:rsid w:val="00C85A2C"/>
    <w:rsid w:val="00C875AA"/>
    <w:rsid w:val="00C90663"/>
    <w:rsid w:val="00C9090B"/>
    <w:rsid w:val="00C92410"/>
    <w:rsid w:val="00C92DE0"/>
    <w:rsid w:val="00C93177"/>
    <w:rsid w:val="00C945CB"/>
    <w:rsid w:val="00C94A67"/>
    <w:rsid w:val="00C97112"/>
    <w:rsid w:val="00CA063A"/>
    <w:rsid w:val="00CA0FBA"/>
    <w:rsid w:val="00CA1851"/>
    <w:rsid w:val="00CA33D0"/>
    <w:rsid w:val="00CA38D1"/>
    <w:rsid w:val="00CA41DF"/>
    <w:rsid w:val="00CA4EBE"/>
    <w:rsid w:val="00CA525D"/>
    <w:rsid w:val="00CA61EF"/>
    <w:rsid w:val="00CA693C"/>
    <w:rsid w:val="00CA7496"/>
    <w:rsid w:val="00CB0591"/>
    <w:rsid w:val="00CB110D"/>
    <w:rsid w:val="00CB1370"/>
    <w:rsid w:val="00CB1DB2"/>
    <w:rsid w:val="00CB396E"/>
    <w:rsid w:val="00CB490D"/>
    <w:rsid w:val="00CB6B95"/>
    <w:rsid w:val="00CB6CCC"/>
    <w:rsid w:val="00CC17F6"/>
    <w:rsid w:val="00CC19CA"/>
    <w:rsid w:val="00CD0EC0"/>
    <w:rsid w:val="00CD2C40"/>
    <w:rsid w:val="00CD3601"/>
    <w:rsid w:val="00CD3B47"/>
    <w:rsid w:val="00CD7CA1"/>
    <w:rsid w:val="00CE2F44"/>
    <w:rsid w:val="00CE305A"/>
    <w:rsid w:val="00CE34B4"/>
    <w:rsid w:val="00CE3C63"/>
    <w:rsid w:val="00CE5010"/>
    <w:rsid w:val="00CE5C49"/>
    <w:rsid w:val="00CE7D5A"/>
    <w:rsid w:val="00CF005F"/>
    <w:rsid w:val="00CF16EF"/>
    <w:rsid w:val="00CF4CEF"/>
    <w:rsid w:val="00CF5A32"/>
    <w:rsid w:val="00CF6F29"/>
    <w:rsid w:val="00D02B10"/>
    <w:rsid w:val="00D032F4"/>
    <w:rsid w:val="00D10F0C"/>
    <w:rsid w:val="00D11B07"/>
    <w:rsid w:val="00D128DC"/>
    <w:rsid w:val="00D143C2"/>
    <w:rsid w:val="00D14D65"/>
    <w:rsid w:val="00D20233"/>
    <w:rsid w:val="00D224A7"/>
    <w:rsid w:val="00D25FE7"/>
    <w:rsid w:val="00D30B09"/>
    <w:rsid w:val="00D345C1"/>
    <w:rsid w:val="00D34D39"/>
    <w:rsid w:val="00D34E36"/>
    <w:rsid w:val="00D36589"/>
    <w:rsid w:val="00D36A96"/>
    <w:rsid w:val="00D40122"/>
    <w:rsid w:val="00D43CA4"/>
    <w:rsid w:val="00D44DF1"/>
    <w:rsid w:val="00D45302"/>
    <w:rsid w:val="00D4678F"/>
    <w:rsid w:val="00D46ED1"/>
    <w:rsid w:val="00D470BC"/>
    <w:rsid w:val="00D47267"/>
    <w:rsid w:val="00D51A0C"/>
    <w:rsid w:val="00D51CB9"/>
    <w:rsid w:val="00D52A34"/>
    <w:rsid w:val="00D533E0"/>
    <w:rsid w:val="00D53951"/>
    <w:rsid w:val="00D53A50"/>
    <w:rsid w:val="00D56FE6"/>
    <w:rsid w:val="00D57699"/>
    <w:rsid w:val="00D579CA"/>
    <w:rsid w:val="00D60886"/>
    <w:rsid w:val="00D612AE"/>
    <w:rsid w:val="00D65365"/>
    <w:rsid w:val="00D65E50"/>
    <w:rsid w:val="00D6637A"/>
    <w:rsid w:val="00D71D68"/>
    <w:rsid w:val="00D723FB"/>
    <w:rsid w:val="00D72659"/>
    <w:rsid w:val="00D72DDF"/>
    <w:rsid w:val="00D74838"/>
    <w:rsid w:val="00D75DCD"/>
    <w:rsid w:val="00D80603"/>
    <w:rsid w:val="00D810E0"/>
    <w:rsid w:val="00D81EB3"/>
    <w:rsid w:val="00D82AA3"/>
    <w:rsid w:val="00D84632"/>
    <w:rsid w:val="00D84782"/>
    <w:rsid w:val="00D867C6"/>
    <w:rsid w:val="00D8696E"/>
    <w:rsid w:val="00D877A3"/>
    <w:rsid w:val="00D905F4"/>
    <w:rsid w:val="00D9064F"/>
    <w:rsid w:val="00D9075D"/>
    <w:rsid w:val="00D908F7"/>
    <w:rsid w:val="00D90DDD"/>
    <w:rsid w:val="00D9196D"/>
    <w:rsid w:val="00D9351F"/>
    <w:rsid w:val="00D95366"/>
    <w:rsid w:val="00DA1866"/>
    <w:rsid w:val="00DA259E"/>
    <w:rsid w:val="00DA2B09"/>
    <w:rsid w:val="00DA315E"/>
    <w:rsid w:val="00DA735B"/>
    <w:rsid w:val="00DA7C91"/>
    <w:rsid w:val="00DB0F68"/>
    <w:rsid w:val="00DB1BB8"/>
    <w:rsid w:val="00DB479B"/>
    <w:rsid w:val="00DB5C24"/>
    <w:rsid w:val="00DB6C90"/>
    <w:rsid w:val="00DB7997"/>
    <w:rsid w:val="00DC0B56"/>
    <w:rsid w:val="00DC1EBF"/>
    <w:rsid w:val="00DC258C"/>
    <w:rsid w:val="00DC2893"/>
    <w:rsid w:val="00DC588A"/>
    <w:rsid w:val="00DC6584"/>
    <w:rsid w:val="00DC6850"/>
    <w:rsid w:val="00DC69A4"/>
    <w:rsid w:val="00DC6A66"/>
    <w:rsid w:val="00DC7B3C"/>
    <w:rsid w:val="00DD193C"/>
    <w:rsid w:val="00DD1F17"/>
    <w:rsid w:val="00DD319B"/>
    <w:rsid w:val="00DD4087"/>
    <w:rsid w:val="00DD4E58"/>
    <w:rsid w:val="00DD79DE"/>
    <w:rsid w:val="00DD7A9D"/>
    <w:rsid w:val="00DE7051"/>
    <w:rsid w:val="00DF4139"/>
    <w:rsid w:val="00DF75DE"/>
    <w:rsid w:val="00E007DB"/>
    <w:rsid w:val="00E01806"/>
    <w:rsid w:val="00E01E4F"/>
    <w:rsid w:val="00E022DB"/>
    <w:rsid w:val="00E04DC6"/>
    <w:rsid w:val="00E04FF2"/>
    <w:rsid w:val="00E07D16"/>
    <w:rsid w:val="00E10CE1"/>
    <w:rsid w:val="00E10F4A"/>
    <w:rsid w:val="00E1109D"/>
    <w:rsid w:val="00E11568"/>
    <w:rsid w:val="00E12633"/>
    <w:rsid w:val="00E12925"/>
    <w:rsid w:val="00E13B53"/>
    <w:rsid w:val="00E13D19"/>
    <w:rsid w:val="00E140AA"/>
    <w:rsid w:val="00E15347"/>
    <w:rsid w:val="00E21398"/>
    <w:rsid w:val="00E2163D"/>
    <w:rsid w:val="00E22E05"/>
    <w:rsid w:val="00E23056"/>
    <w:rsid w:val="00E2605D"/>
    <w:rsid w:val="00E27146"/>
    <w:rsid w:val="00E30381"/>
    <w:rsid w:val="00E31088"/>
    <w:rsid w:val="00E3245C"/>
    <w:rsid w:val="00E357F1"/>
    <w:rsid w:val="00E37519"/>
    <w:rsid w:val="00E3752A"/>
    <w:rsid w:val="00E4169A"/>
    <w:rsid w:val="00E420A2"/>
    <w:rsid w:val="00E4210B"/>
    <w:rsid w:val="00E42655"/>
    <w:rsid w:val="00E4746B"/>
    <w:rsid w:val="00E500E3"/>
    <w:rsid w:val="00E55F17"/>
    <w:rsid w:val="00E56025"/>
    <w:rsid w:val="00E57F04"/>
    <w:rsid w:val="00E60D83"/>
    <w:rsid w:val="00E60F1D"/>
    <w:rsid w:val="00E6668B"/>
    <w:rsid w:val="00E66B6C"/>
    <w:rsid w:val="00E70C82"/>
    <w:rsid w:val="00E70EB9"/>
    <w:rsid w:val="00E7327C"/>
    <w:rsid w:val="00E73FE2"/>
    <w:rsid w:val="00E75234"/>
    <w:rsid w:val="00E75B8F"/>
    <w:rsid w:val="00E75F4D"/>
    <w:rsid w:val="00E77404"/>
    <w:rsid w:val="00E823B0"/>
    <w:rsid w:val="00E847EE"/>
    <w:rsid w:val="00E849A6"/>
    <w:rsid w:val="00E8748C"/>
    <w:rsid w:val="00E8787F"/>
    <w:rsid w:val="00E928D1"/>
    <w:rsid w:val="00E952E0"/>
    <w:rsid w:val="00E96B41"/>
    <w:rsid w:val="00EA4294"/>
    <w:rsid w:val="00EA6346"/>
    <w:rsid w:val="00EB1375"/>
    <w:rsid w:val="00EB207A"/>
    <w:rsid w:val="00EB34E5"/>
    <w:rsid w:val="00EB36C1"/>
    <w:rsid w:val="00EB4209"/>
    <w:rsid w:val="00EB4694"/>
    <w:rsid w:val="00EB7BCA"/>
    <w:rsid w:val="00EC0E7B"/>
    <w:rsid w:val="00EC1375"/>
    <w:rsid w:val="00EC2251"/>
    <w:rsid w:val="00EC336A"/>
    <w:rsid w:val="00EC4B06"/>
    <w:rsid w:val="00EC6625"/>
    <w:rsid w:val="00EC70B7"/>
    <w:rsid w:val="00EC7DC8"/>
    <w:rsid w:val="00ED1A7D"/>
    <w:rsid w:val="00ED2F9D"/>
    <w:rsid w:val="00ED7629"/>
    <w:rsid w:val="00EE2FF5"/>
    <w:rsid w:val="00EE3B63"/>
    <w:rsid w:val="00EE6776"/>
    <w:rsid w:val="00EE7562"/>
    <w:rsid w:val="00EF02D4"/>
    <w:rsid w:val="00EF0F01"/>
    <w:rsid w:val="00EF21CD"/>
    <w:rsid w:val="00EF5B1D"/>
    <w:rsid w:val="00F01653"/>
    <w:rsid w:val="00F0286A"/>
    <w:rsid w:val="00F0584C"/>
    <w:rsid w:val="00F05934"/>
    <w:rsid w:val="00F06160"/>
    <w:rsid w:val="00F12C0D"/>
    <w:rsid w:val="00F13125"/>
    <w:rsid w:val="00F1396B"/>
    <w:rsid w:val="00F1460D"/>
    <w:rsid w:val="00F15137"/>
    <w:rsid w:val="00F21543"/>
    <w:rsid w:val="00F24F34"/>
    <w:rsid w:val="00F265C6"/>
    <w:rsid w:val="00F2709E"/>
    <w:rsid w:val="00F30060"/>
    <w:rsid w:val="00F3531F"/>
    <w:rsid w:val="00F36B46"/>
    <w:rsid w:val="00F42670"/>
    <w:rsid w:val="00F4574F"/>
    <w:rsid w:val="00F45D3F"/>
    <w:rsid w:val="00F46E76"/>
    <w:rsid w:val="00F47E3A"/>
    <w:rsid w:val="00F51A99"/>
    <w:rsid w:val="00F55BC3"/>
    <w:rsid w:val="00F57428"/>
    <w:rsid w:val="00F5757D"/>
    <w:rsid w:val="00F60031"/>
    <w:rsid w:val="00F64C83"/>
    <w:rsid w:val="00F65AD7"/>
    <w:rsid w:val="00F701AA"/>
    <w:rsid w:val="00F80DA0"/>
    <w:rsid w:val="00F81805"/>
    <w:rsid w:val="00F822AC"/>
    <w:rsid w:val="00F83E06"/>
    <w:rsid w:val="00F84162"/>
    <w:rsid w:val="00F90F16"/>
    <w:rsid w:val="00F913F1"/>
    <w:rsid w:val="00F916F7"/>
    <w:rsid w:val="00F937D2"/>
    <w:rsid w:val="00F93AEF"/>
    <w:rsid w:val="00F93BA7"/>
    <w:rsid w:val="00F952D9"/>
    <w:rsid w:val="00FA4ECD"/>
    <w:rsid w:val="00FA7919"/>
    <w:rsid w:val="00FB034B"/>
    <w:rsid w:val="00FB45E3"/>
    <w:rsid w:val="00FB5F15"/>
    <w:rsid w:val="00FB5FF5"/>
    <w:rsid w:val="00FB793F"/>
    <w:rsid w:val="00FC042C"/>
    <w:rsid w:val="00FC12F2"/>
    <w:rsid w:val="00FC1D73"/>
    <w:rsid w:val="00FC1D8B"/>
    <w:rsid w:val="00FC3A1A"/>
    <w:rsid w:val="00FC4C10"/>
    <w:rsid w:val="00FC5DB7"/>
    <w:rsid w:val="00FC5F73"/>
    <w:rsid w:val="00FC63C5"/>
    <w:rsid w:val="00FC74E7"/>
    <w:rsid w:val="00FC7E73"/>
    <w:rsid w:val="00FD0025"/>
    <w:rsid w:val="00FD0DD7"/>
    <w:rsid w:val="00FD0F80"/>
    <w:rsid w:val="00FD258B"/>
    <w:rsid w:val="00FD2AD7"/>
    <w:rsid w:val="00FD460B"/>
    <w:rsid w:val="00FD7CF6"/>
    <w:rsid w:val="00FE11C4"/>
    <w:rsid w:val="00FE24A3"/>
    <w:rsid w:val="00FE4E21"/>
    <w:rsid w:val="00FF0D35"/>
    <w:rsid w:val="00FF1860"/>
    <w:rsid w:val="00FF2CE5"/>
    <w:rsid w:val="00FF2E58"/>
    <w:rsid w:val="00FF3F8F"/>
    <w:rsid w:val="00FF4352"/>
    <w:rsid w:val="00FF5DC7"/>
    <w:rsid w:val="00FF6AE9"/>
    <w:rsid w:val="00FF785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fillcolor="#ff5050" stroke="f">
      <v:fill color="#ff5050" opacity="26214f" rotate="t" angle="-90" type="gradient"/>
      <v:stroke weight="0" insetpen="t" on="f">
        <o:left v:ext="view" weight="0" insetpen="t"/>
        <o:top v:ext="view" weight="0" insetpen="t"/>
        <o:right v:ext="view" weight="0" insetpen="t"/>
        <o:bottom v:ext="view" weight="0" insetpen="t"/>
      </v:stroke>
      <v:shadow color="#ccc"/>
      <v:textbox inset="2.88pt,2.88pt,2.88pt,2.88pt"/>
      <o:colormru v:ext="edit" colors="#903,#0cf,#f90,#c38f27,#90c,#006,yellow,#d51583"/>
      <o:colormenu v:ext="edit" fillcolor="none [3215]"/>
    </o:shapedefaults>
    <o:shapelayout v:ext="edit">
      <o:idmap v:ext="edit" data="1"/>
      <o:regrouptable v:ext="edit">
        <o:entry new="1" old="0"/>
        <o:entry new="2" old="0"/>
        <o:entry new="3" old="0"/>
        <o:entry new="4" old="0"/>
        <o:entry new="5" old="4"/>
        <o:entry new="6" old="0"/>
        <o:entry new="7" old="0"/>
        <o:entry new="8" old="0"/>
        <o:entry new="9" old="0"/>
        <o:entry new="10" old="0"/>
        <o:entry new="11" old="0"/>
        <o:entry new="12" old="0"/>
        <o:entry new="13" old="0"/>
        <o:entry new="14" old="0"/>
        <o:entry new="15" old="0"/>
        <o:entry new="17" old="0"/>
        <o:entry new="18" old="0"/>
        <o:entry new="19" old="0"/>
        <o:entry new="20" old="0"/>
        <o:entry new="21" old="0"/>
        <o:entry new="22" old="0"/>
        <o:entry new="23" old="0"/>
        <o:entry new="24" old="0"/>
        <o:entry new="25" old="0"/>
        <o:entry new="26" old="0"/>
        <o:entry new="27" old="0"/>
        <o:entry new="28" old="27"/>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0B56"/>
    <w:rPr>
      <w:color w:val="000000"/>
      <w:kern w:val="28"/>
    </w:rPr>
  </w:style>
  <w:style w:type="paragraph" w:styleId="Titre1">
    <w:name w:val="heading 1"/>
    <w:basedOn w:val="Normal"/>
    <w:next w:val="Normal"/>
    <w:link w:val="Titre1Car"/>
    <w:qFormat/>
    <w:rsid w:val="003B7377"/>
    <w:pPr>
      <w:spacing w:before="480" w:line="276" w:lineRule="auto"/>
      <w:contextualSpacing/>
      <w:outlineLvl w:val="0"/>
    </w:pPr>
    <w:rPr>
      <w:rFonts w:ascii="Trebuchet MS" w:hAnsi="Trebuchet MS"/>
      <w:b/>
      <w:bCs/>
      <w:color w:val="auto"/>
      <w:kern w:val="0"/>
      <w:sz w:val="28"/>
      <w:szCs w:val="28"/>
      <w:lang w:bidi="en-US"/>
    </w:rPr>
  </w:style>
  <w:style w:type="paragraph" w:styleId="Titre2">
    <w:name w:val="heading 2"/>
    <w:basedOn w:val="Normal"/>
    <w:next w:val="Normal"/>
    <w:link w:val="Titre2Car"/>
    <w:qFormat/>
    <w:rsid w:val="003B7377"/>
    <w:pPr>
      <w:spacing w:before="200" w:line="276" w:lineRule="auto"/>
      <w:outlineLvl w:val="1"/>
    </w:pPr>
    <w:rPr>
      <w:rFonts w:ascii="Trebuchet MS" w:hAnsi="Trebuchet MS"/>
      <w:b/>
      <w:bCs/>
      <w:color w:val="auto"/>
      <w:kern w:val="0"/>
      <w:sz w:val="26"/>
      <w:szCs w:val="26"/>
      <w:lang w:bidi="en-US"/>
    </w:rPr>
  </w:style>
  <w:style w:type="paragraph" w:styleId="Titre3">
    <w:name w:val="heading 3"/>
    <w:basedOn w:val="Normal"/>
    <w:next w:val="Normal"/>
    <w:link w:val="Titre3Car"/>
    <w:qFormat/>
    <w:rsid w:val="00CE305A"/>
    <w:pPr>
      <w:keepNext/>
      <w:spacing w:before="240" w:after="60"/>
      <w:jc w:val="both"/>
      <w:outlineLvl w:val="2"/>
    </w:pPr>
    <w:rPr>
      <w:rFonts w:ascii="Arial" w:hAnsi="Arial" w:cs="Arial"/>
      <w:b/>
      <w:bCs/>
      <w:noProof/>
      <w:color w:val="auto"/>
      <w:kern w:val="0"/>
      <w:sz w:val="26"/>
      <w:szCs w:val="26"/>
      <w:lang w:val="fr-BE" w:eastAsia="fr-FR"/>
    </w:rPr>
  </w:style>
  <w:style w:type="paragraph" w:styleId="Titre4">
    <w:name w:val="heading 4"/>
    <w:basedOn w:val="Normal"/>
    <w:next w:val="Normal"/>
    <w:link w:val="Titre4Car"/>
    <w:qFormat/>
    <w:rsid w:val="00C011FA"/>
    <w:pPr>
      <w:keepNext/>
      <w:spacing w:before="240" w:after="60"/>
      <w:outlineLvl w:val="3"/>
    </w:pPr>
    <w:rPr>
      <w:b/>
      <w:bCs/>
      <w:sz w:val="28"/>
      <w:szCs w:val="28"/>
    </w:rPr>
  </w:style>
  <w:style w:type="paragraph" w:styleId="Titre5">
    <w:name w:val="heading 5"/>
    <w:basedOn w:val="Normal"/>
    <w:next w:val="Normal"/>
    <w:qFormat/>
    <w:rsid w:val="00C011FA"/>
    <w:pPr>
      <w:numPr>
        <w:ilvl w:val="4"/>
        <w:numId w:val="1"/>
      </w:numPr>
      <w:tabs>
        <w:tab w:val="left" w:pos="0"/>
      </w:tabs>
      <w:spacing w:before="240" w:after="60"/>
      <w:jc w:val="both"/>
      <w:outlineLvl w:val="4"/>
    </w:pPr>
    <w:rPr>
      <w:rFonts w:ascii="Arial" w:hAnsi="Arial"/>
      <w:b/>
      <w:bCs/>
      <w:i/>
      <w:iCs/>
      <w:color w:val="auto"/>
      <w:kern w:val="0"/>
      <w:sz w:val="26"/>
      <w:szCs w:val="26"/>
      <w:lang w:val="fr-FR"/>
    </w:rPr>
  </w:style>
  <w:style w:type="paragraph" w:styleId="Titre6">
    <w:name w:val="heading 6"/>
    <w:basedOn w:val="Normal"/>
    <w:next w:val="Normal"/>
    <w:qFormat/>
    <w:rsid w:val="00C011FA"/>
    <w:pPr>
      <w:numPr>
        <w:ilvl w:val="5"/>
        <w:numId w:val="1"/>
      </w:numPr>
      <w:tabs>
        <w:tab w:val="left" w:pos="0"/>
      </w:tabs>
      <w:spacing w:before="240" w:after="60"/>
      <w:jc w:val="both"/>
      <w:outlineLvl w:val="5"/>
    </w:pPr>
    <w:rPr>
      <w:rFonts w:ascii="Arial" w:hAnsi="Arial"/>
      <w:b/>
      <w:bCs/>
      <w:color w:val="auto"/>
      <w:kern w:val="0"/>
      <w:sz w:val="22"/>
      <w:szCs w:val="22"/>
      <w:lang w:val="fr-BE"/>
    </w:rPr>
  </w:style>
  <w:style w:type="paragraph" w:styleId="Titre7">
    <w:name w:val="heading 7"/>
    <w:basedOn w:val="Normal"/>
    <w:next w:val="Normal"/>
    <w:qFormat/>
    <w:rsid w:val="00C011FA"/>
    <w:pPr>
      <w:numPr>
        <w:ilvl w:val="6"/>
        <w:numId w:val="1"/>
      </w:numPr>
      <w:tabs>
        <w:tab w:val="left" w:pos="0"/>
      </w:tabs>
      <w:spacing w:before="240" w:after="60"/>
      <w:jc w:val="both"/>
      <w:outlineLvl w:val="6"/>
    </w:pPr>
    <w:rPr>
      <w:rFonts w:ascii="Arial" w:hAnsi="Arial"/>
      <w:color w:val="auto"/>
      <w:kern w:val="0"/>
      <w:sz w:val="24"/>
      <w:szCs w:val="24"/>
      <w:lang w:val="fr-FR"/>
    </w:rPr>
  </w:style>
  <w:style w:type="paragraph" w:styleId="Titre8">
    <w:name w:val="heading 8"/>
    <w:basedOn w:val="Normal"/>
    <w:next w:val="Normal"/>
    <w:qFormat/>
    <w:rsid w:val="00C011FA"/>
    <w:pPr>
      <w:numPr>
        <w:ilvl w:val="7"/>
        <w:numId w:val="1"/>
      </w:numPr>
      <w:tabs>
        <w:tab w:val="left" w:pos="0"/>
      </w:tabs>
      <w:spacing w:before="240" w:after="60"/>
      <w:jc w:val="both"/>
      <w:outlineLvl w:val="7"/>
    </w:pPr>
    <w:rPr>
      <w:rFonts w:ascii="Arial" w:hAnsi="Arial"/>
      <w:i/>
      <w:iCs/>
      <w:color w:val="auto"/>
      <w:kern w:val="0"/>
      <w:sz w:val="24"/>
      <w:szCs w:val="24"/>
      <w:lang w:val="fr-FR"/>
    </w:rPr>
  </w:style>
  <w:style w:type="paragraph" w:styleId="Titre9">
    <w:name w:val="heading 9"/>
    <w:basedOn w:val="Normal"/>
    <w:next w:val="Normal"/>
    <w:qFormat/>
    <w:rsid w:val="00C011FA"/>
    <w:pPr>
      <w:numPr>
        <w:ilvl w:val="8"/>
        <w:numId w:val="1"/>
      </w:numPr>
      <w:tabs>
        <w:tab w:val="left" w:pos="0"/>
      </w:tabs>
      <w:spacing w:before="240" w:after="60"/>
      <w:jc w:val="both"/>
      <w:outlineLvl w:val="8"/>
    </w:pPr>
    <w:rPr>
      <w:rFonts w:ascii="Arial" w:hAnsi="Arial" w:cs="Arial"/>
      <w:color w:val="auto"/>
      <w:kern w:val="0"/>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3B7377"/>
    <w:rPr>
      <w:rFonts w:ascii="Trebuchet MS" w:hAnsi="Trebuchet MS"/>
      <w:b/>
      <w:bCs/>
      <w:sz w:val="28"/>
      <w:szCs w:val="28"/>
      <w:lang w:val="en-US" w:eastAsia="en-US" w:bidi="en-US"/>
    </w:rPr>
  </w:style>
  <w:style w:type="character" w:customStyle="1" w:styleId="Titre2Car">
    <w:name w:val="Titre 2 Car"/>
    <w:basedOn w:val="Policepardfaut"/>
    <w:link w:val="Titre2"/>
    <w:locked/>
    <w:rsid w:val="003B7377"/>
    <w:rPr>
      <w:rFonts w:ascii="Trebuchet MS" w:hAnsi="Trebuchet MS"/>
      <w:b/>
      <w:bCs/>
      <w:sz w:val="26"/>
      <w:szCs w:val="26"/>
      <w:lang w:val="en-US" w:eastAsia="en-US" w:bidi="en-US"/>
    </w:rPr>
  </w:style>
  <w:style w:type="character" w:customStyle="1" w:styleId="Titre3Car">
    <w:name w:val="Titre 3 Car"/>
    <w:basedOn w:val="Policepardfaut"/>
    <w:link w:val="Titre3"/>
    <w:locked/>
    <w:rsid w:val="00C011FA"/>
    <w:rPr>
      <w:rFonts w:ascii="Arial" w:hAnsi="Arial" w:cs="Arial"/>
      <w:b/>
      <w:bCs/>
      <w:noProof/>
      <w:sz w:val="26"/>
      <w:szCs w:val="26"/>
      <w:lang w:val="fr-BE" w:eastAsia="fr-FR" w:bidi="ar-SA"/>
    </w:rPr>
  </w:style>
  <w:style w:type="character" w:customStyle="1" w:styleId="Titre4Car">
    <w:name w:val="Titre 4 Car"/>
    <w:basedOn w:val="Policepardfaut"/>
    <w:link w:val="Titre4"/>
    <w:locked/>
    <w:rsid w:val="00C011FA"/>
    <w:rPr>
      <w:b/>
      <w:bCs/>
      <w:color w:val="000000"/>
      <w:kern w:val="28"/>
      <w:sz w:val="28"/>
      <w:szCs w:val="28"/>
      <w:lang w:val="en-US" w:eastAsia="en-US" w:bidi="ar-SA"/>
    </w:rPr>
  </w:style>
  <w:style w:type="character" w:styleId="Lienhypertexte">
    <w:name w:val="Hyperlink"/>
    <w:basedOn w:val="Policepardfaut"/>
    <w:uiPriority w:val="99"/>
    <w:rsid w:val="007072B7"/>
    <w:rPr>
      <w:color w:val="800080"/>
      <w:u w:val="single"/>
    </w:rPr>
  </w:style>
  <w:style w:type="paragraph" w:styleId="Notedebasdepage">
    <w:name w:val="footnote text"/>
    <w:aliases w:val=" Car Car,Car Car"/>
    <w:basedOn w:val="Normal"/>
    <w:link w:val="NotedebasdepageCar"/>
    <w:rsid w:val="007072B7"/>
  </w:style>
  <w:style w:type="character" w:customStyle="1" w:styleId="NotedebasdepageCar">
    <w:name w:val="Note de bas de page Car"/>
    <w:aliases w:val=" Car Car Car,Car Car Car"/>
    <w:basedOn w:val="Policepardfaut"/>
    <w:link w:val="Notedebasdepage"/>
    <w:locked/>
    <w:rsid w:val="003B7377"/>
    <w:rPr>
      <w:color w:val="000000"/>
      <w:kern w:val="28"/>
      <w:lang w:val="en-US" w:eastAsia="en-US" w:bidi="ar-SA"/>
    </w:rPr>
  </w:style>
  <w:style w:type="character" w:styleId="Lienhypertextesuivivisit">
    <w:name w:val="FollowedHyperlink"/>
    <w:basedOn w:val="Policepardfaut"/>
    <w:rsid w:val="006E367F"/>
    <w:rPr>
      <w:color w:val="800080"/>
      <w:u w:val="single"/>
    </w:rPr>
  </w:style>
  <w:style w:type="character" w:styleId="Appelnotedebasdep">
    <w:name w:val="footnote reference"/>
    <w:basedOn w:val="Policepardfaut"/>
    <w:rsid w:val="006E367F"/>
    <w:rPr>
      <w:vertAlign w:val="superscript"/>
    </w:rPr>
  </w:style>
  <w:style w:type="character" w:styleId="Marquedecommentaire">
    <w:name w:val="annotation reference"/>
    <w:basedOn w:val="Policepardfaut"/>
    <w:semiHidden/>
    <w:rsid w:val="006E367F"/>
    <w:rPr>
      <w:sz w:val="16"/>
      <w:szCs w:val="16"/>
    </w:rPr>
  </w:style>
  <w:style w:type="paragraph" w:styleId="Commentaire">
    <w:name w:val="annotation text"/>
    <w:basedOn w:val="Normal"/>
    <w:semiHidden/>
    <w:rsid w:val="006E367F"/>
    <w:rPr>
      <w:color w:val="auto"/>
      <w:kern w:val="0"/>
    </w:rPr>
  </w:style>
  <w:style w:type="paragraph" w:styleId="Textedebulles">
    <w:name w:val="Balloon Text"/>
    <w:basedOn w:val="Normal"/>
    <w:semiHidden/>
    <w:rsid w:val="006E367F"/>
    <w:rPr>
      <w:rFonts w:ascii="Tahoma" w:hAnsi="Tahoma" w:cs="Tahoma"/>
      <w:sz w:val="16"/>
      <w:szCs w:val="16"/>
    </w:rPr>
  </w:style>
  <w:style w:type="paragraph" w:styleId="Titre">
    <w:name w:val="Title"/>
    <w:basedOn w:val="Normal"/>
    <w:next w:val="Normal"/>
    <w:link w:val="TitreCar"/>
    <w:qFormat/>
    <w:rsid w:val="003B7377"/>
    <w:pPr>
      <w:pBdr>
        <w:bottom w:val="single" w:sz="4" w:space="1" w:color="auto"/>
      </w:pBdr>
      <w:spacing w:after="200"/>
      <w:contextualSpacing/>
    </w:pPr>
    <w:rPr>
      <w:rFonts w:ascii="Trebuchet MS" w:hAnsi="Trebuchet MS"/>
      <w:color w:val="auto"/>
      <w:spacing w:val="5"/>
      <w:kern w:val="0"/>
      <w:sz w:val="52"/>
      <w:szCs w:val="52"/>
      <w:lang w:bidi="en-US"/>
    </w:rPr>
  </w:style>
  <w:style w:type="character" w:customStyle="1" w:styleId="TitreCar">
    <w:name w:val="Titre Car"/>
    <w:basedOn w:val="Policepardfaut"/>
    <w:link w:val="Titre"/>
    <w:locked/>
    <w:rsid w:val="003B7377"/>
    <w:rPr>
      <w:rFonts w:ascii="Trebuchet MS" w:hAnsi="Trebuchet MS"/>
      <w:spacing w:val="5"/>
      <w:sz w:val="52"/>
      <w:szCs w:val="52"/>
      <w:lang w:val="en-US" w:eastAsia="en-US" w:bidi="en-US"/>
    </w:rPr>
  </w:style>
  <w:style w:type="paragraph" w:customStyle="1" w:styleId="Citation1">
    <w:name w:val="Citation1"/>
    <w:basedOn w:val="Normal"/>
    <w:next w:val="Normal"/>
    <w:link w:val="CitationCar"/>
    <w:qFormat/>
    <w:rsid w:val="003B7377"/>
    <w:pPr>
      <w:spacing w:before="200" w:line="276" w:lineRule="auto"/>
      <w:ind w:left="360" w:right="360"/>
    </w:pPr>
    <w:rPr>
      <w:rFonts w:ascii="Georgia" w:hAnsi="Georgia"/>
      <w:i/>
      <w:iCs/>
      <w:color w:val="auto"/>
      <w:kern w:val="0"/>
      <w:sz w:val="22"/>
      <w:szCs w:val="22"/>
      <w:lang w:bidi="en-US"/>
    </w:rPr>
  </w:style>
  <w:style w:type="character" w:customStyle="1" w:styleId="CitationCar">
    <w:name w:val="Citation Car"/>
    <w:basedOn w:val="Policepardfaut"/>
    <w:link w:val="Citation1"/>
    <w:locked/>
    <w:rsid w:val="003B7377"/>
    <w:rPr>
      <w:rFonts w:ascii="Georgia" w:hAnsi="Georgia"/>
      <w:i/>
      <w:iCs/>
      <w:sz w:val="22"/>
      <w:szCs w:val="22"/>
      <w:lang w:val="en-US" w:eastAsia="en-US" w:bidi="en-US"/>
    </w:rPr>
  </w:style>
  <w:style w:type="paragraph" w:customStyle="1" w:styleId="Auteur">
    <w:name w:val="Auteur"/>
    <w:basedOn w:val="Normal"/>
    <w:next w:val="Normal"/>
    <w:rsid w:val="003B7377"/>
    <w:pPr>
      <w:spacing w:after="200" w:line="276" w:lineRule="auto"/>
    </w:pPr>
    <w:rPr>
      <w:rFonts w:ascii="Georgia" w:hAnsi="Georgia"/>
      <w:smallCaps/>
      <w:color w:val="auto"/>
      <w:spacing w:val="20"/>
      <w:kern w:val="0"/>
      <w:sz w:val="22"/>
      <w:szCs w:val="22"/>
      <w:lang w:val="fr-BE" w:bidi="en-US"/>
    </w:rPr>
  </w:style>
  <w:style w:type="paragraph" w:styleId="Lgende">
    <w:name w:val="caption"/>
    <w:basedOn w:val="Normal"/>
    <w:next w:val="Normal"/>
    <w:qFormat/>
    <w:rsid w:val="003B7377"/>
    <w:pPr>
      <w:spacing w:after="200" w:line="276" w:lineRule="auto"/>
    </w:pPr>
    <w:rPr>
      <w:rFonts w:ascii="Georgia" w:hAnsi="Georgia"/>
      <w:b/>
      <w:bCs/>
      <w:color w:val="auto"/>
      <w:kern w:val="0"/>
      <w:lang w:bidi="en-US"/>
    </w:rPr>
  </w:style>
  <w:style w:type="paragraph" w:styleId="Pieddepage">
    <w:name w:val="footer"/>
    <w:basedOn w:val="Normal"/>
    <w:link w:val="PieddepageCar"/>
    <w:rsid w:val="003B7377"/>
    <w:pPr>
      <w:tabs>
        <w:tab w:val="center" w:pos="4536"/>
        <w:tab w:val="right" w:pos="9072"/>
      </w:tabs>
    </w:pPr>
  </w:style>
  <w:style w:type="character" w:customStyle="1" w:styleId="PieddepageCar">
    <w:name w:val="Pied de page Car"/>
    <w:basedOn w:val="Policepardfaut"/>
    <w:link w:val="Pieddepage"/>
    <w:rsid w:val="00C011FA"/>
    <w:rPr>
      <w:color w:val="000000"/>
      <w:kern w:val="28"/>
      <w:lang w:val="en-US" w:eastAsia="en-US" w:bidi="ar-SA"/>
    </w:rPr>
  </w:style>
  <w:style w:type="character" w:styleId="Numrodepage">
    <w:name w:val="page number"/>
    <w:basedOn w:val="Policepardfaut"/>
    <w:rsid w:val="003B7377"/>
  </w:style>
  <w:style w:type="paragraph" w:styleId="NormalWeb">
    <w:name w:val="Normal (Web)"/>
    <w:basedOn w:val="Normal"/>
    <w:rsid w:val="00CE305A"/>
    <w:pPr>
      <w:spacing w:before="100" w:beforeAutospacing="1" w:after="100" w:afterAutospacing="1"/>
    </w:pPr>
    <w:rPr>
      <w:rFonts w:ascii="Arial Unicode MS" w:eastAsia="Arial Unicode MS" w:hAnsi="Arial Unicode MS" w:cs="Arial Unicode MS"/>
      <w:noProof/>
      <w:color w:val="auto"/>
      <w:kern w:val="0"/>
      <w:sz w:val="24"/>
      <w:szCs w:val="24"/>
      <w:lang w:val="fr-FR" w:eastAsia="fr-FR"/>
    </w:rPr>
  </w:style>
  <w:style w:type="paragraph" w:customStyle="1" w:styleId="bodytext">
    <w:name w:val="bodytext"/>
    <w:basedOn w:val="Normal"/>
    <w:rsid w:val="00CE305A"/>
    <w:pPr>
      <w:spacing w:before="75"/>
    </w:pPr>
    <w:rPr>
      <w:color w:val="auto"/>
      <w:kern w:val="0"/>
      <w:sz w:val="24"/>
      <w:szCs w:val="24"/>
    </w:rPr>
  </w:style>
  <w:style w:type="table" w:styleId="Grilledutableau">
    <w:name w:val="Table Grid"/>
    <w:basedOn w:val="TableauNormal"/>
    <w:rsid w:val="00CE3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qFormat/>
    <w:rsid w:val="00CE305A"/>
    <w:rPr>
      <w:b/>
      <w:bCs/>
    </w:rPr>
  </w:style>
  <w:style w:type="paragraph" w:styleId="En-tte">
    <w:name w:val="header"/>
    <w:basedOn w:val="Normal"/>
    <w:rsid w:val="0077191D"/>
    <w:pPr>
      <w:tabs>
        <w:tab w:val="center" w:pos="4536"/>
        <w:tab w:val="right" w:pos="9072"/>
      </w:tabs>
    </w:pPr>
  </w:style>
  <w:style w:type="character" w:customStyle="1" w:styleId="numverset1">
    <w:name w:val="num_verset1"/>
    <w:basedOn w:val="Policepardfaut"/>
    <w:rsid w:val="00614CDC"/>
    <w:rPr>
      <w:sz w:val="10"/>
      <w:szCs w:val="10"/>
    </w:rPr>
  </w:style>
  <w:style w:type="table" w:styleId="Classique2">
    <w:name w:val="Table Classic 2"/>
    <w:basedOn w:val="TableauNormal"/>
    <w:rsid w:val="006D1BE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Default">
    <w:name w:val="Default"/>
    <w:rsid w:val="006D1BEF"/>
    <w:pPr>
      <w:autoSpaceDE w:val="0"/>
      <w:autoSpaceDN w:val="0"/>
      <w:adjustRightInd w:val="0"/>
    </w:pPr>
    <w:rPr>
      <w:color w:val="000000"/>
      <w:sz w:val="24"/>
      <w:szCs w:val="24"/>
    </w:rPr>
  </w:style>
  <w:style w:type="character" w:customStyle="1" w:styleId="Heading2Char1">
    <w:name w:val="Heading 2 Char1"/>
    <w:basedOn w:val="Policepardfaut"/>
    <w:locked/>
    <w:rsid w:val="00C011FA"/>
    <w:rPr>
      <w:rFonts w:ascii="Arial" w:hAnsi="Arial" w:cs="Arial"/>
      <w:b/>
      <w:bCs/>
      <w:iCs/>
      <w:sz w:val="24"/>
      <w:szCs w:val="28"/>
      <w:u w:val="single"/>
      <w:lang w:val="en-ZA" w:eastAsia="en-US" w:bidi="ar-SA"/>
    </w:rPr>
  </w:style>
  <w:style w:type="character" w:customStyle="1" w:styleId="FootnoteTextChar">
    <w:name w:val="Footnote Text Char"/>
    <w:aliases w:val="Car Car Char"/>
    <w:basedOn w:val="Policepardfaut"/>
    <w:uiPriority w:val="99"/>
    <w:locked/>
    <w:rsid w:val="00C011FA"/>
    <w:rPr>
      <w:rFonts w:ascii="Arial" w:hAnsi="Arial" w:cs="Arial"/>
      <w:lang w:val="fr-FR" w:eastAsia="en-US" w:bidi="ar-SA"/>
    </w:rPr>
  </w:style>
  <w:style w:type="character" w:customStyle="1" w:styleId="CorpsdetexteCar">
    <w:name w:val="Corps de texte Car"/>
    <w:basedOn w:val="Policepardfaut"/>
    <w:link w:val="Corpsdetexte"/>
    <w:semiHidden/>
    <w:locked/>
    <w:rsid w:val="00C011FA"/>
    <w:rPr>
      <w:rFonts w:ascii="Arial" w:hAnsi="Arial" w:cs="Arial"/>
      <w:sz w:val="24"/>
      <w:szCs w:val="24"/>
      <w:lang w:val="en-US" w:eastAsia="en-US" w:bidi="ar-SA"/>
    </w:rPr>
  </w:style>
  <w:style w:type="paragraph" w:styleId="Corpsdetexte">
    <w:name w:val="Body Text"/>
    <w:basedOn w:val="Normal"/>
    <w:link w:val="CorpsdetexteCar"/>
    <w:rsid w:val="00C011FA"/>
    <w:pPr>
      <w:tabs>
        <w:tab w:val="left" w:pos="0"/>
      </w:tabs>
      <w:spacing w:after="120"/>
      <w:ind w:right="-340"/>
      <w:jc w:val="both"/>
    </w:pPr>
    <w:rPr>
      <w:rFonts w:ascii="Arial" w:hAnsi="Arial" w:cs="Arial"/>
      <w:color w:val="auto"/>
      <w:kern w:val="0"/>
      <w:sz w:val="24"/>
      <w:szCs w:val="24"/>
    </w:rPr>
  </w:style>
  <w:style w:type="character" w:customStyle="1" w:styleId="fpred">
    <w:name w:val="fp_red"/>
    <w:basedOn w:val="Policepardfaut"/>
    <w:rsid w:val="00C011FA"/>
    <w:rPr>
      <w:b/>
      <w:bCs/>
      <w:color w:val="8C182D"/>
    </w:rPr>
  </w:style>
  <w:style w:type="character" w:customStyle="1" w:styleId="t13">
    <w:name w:val="t13"/>
    <w:basedOn w:val="Policepardfaut"/>
    <w:rsid w:val="00344EAB"/>
  </w:style>
  <w:style w:type="paragraph" w:customStyle="1" w:styleId="articletext">
    <w:name w:val="articletext"/>
    <w:basedOn w:val="Normal"/>
    <w:rsid w:val="00344EAB"/>
    <w:pPr>
      <w:spacing w:before="100" w:beforeAutospacing="1" w:after="100" w:afterAutospacing="1"/>
      <w:jc w:val="both"/>
    </w:pPr>
    <w:rPr>
      <w:rFonts w:ascii="Verdana" w:hAnsi="Verdana"/>
      <w:color w:val="2A2A2A"/>
      <w:kern w:val="0"/>
      <w:sz w:val="17"/>
      <w:szCs w:val="17"/>
    </w:rPr>
  </w:style>
  <w:style w:type="character" w:styleId="Accentuation">
    <w:name w:val="Emphasis"/>
    <w:basedOn w:val="Policepardfaut"/>
    <w:qFormat/>
    <w:rsid w:val="00344EAB"/>
    <w:rPr>
      <w:i/>
      <w:iCs/>
    </w:rPr>
  </w:style>
  <w:style w:type="character" w:customStyle="1" w:styleId="Hyperlink2">
    <w:name w:val="Hyperlink2"/>
    <w:basedOn w:val="Policepardfaut"/>
    <w:rsid w:val="00344EAB"/>
    <w:rPr>
      <w:b/>
      <w:bCs/>
      <w:color w:val="003399"/>
      <w:u w:val="single"/>
    </w:rPr>
  </w:style>
  <w:style w:type="paragraph" w:customStyle="1" w:styleId="inside-copy">
    <w:name w:val="inside-copy"/>
    <w:basedOn w:val="Normal"/>
    <w:rsid w:val="00344EAB"/>
    <w:pPr>
      <w:spacing w:before="100" w:beforeAutospacing="1" w:after="100" w:afterAutospacing="1" w:line="225" w:lineRule="atLeast"/>
    </w:pPr>
    <w:rPr>
      <w:kern w:val="0"/>
      <w:sz w:val="18"/>
      <w:szCs w:val="18"/>
    </w:rPr>
  </w:style>
  <w:style w:type="paragraph" w:styleId="Explorateurdedocuments">
    <w:name w:val="Document Map"/>
    <w:basedOn w:val="Normal"/>
    <w:semiHidden/>
    <w:rsid w:val="00C428E0"/>
    <w:pPr>
      <w:shd w:val="clear" w:color="auto" w:fill="000080"/>
    </w:pPr>
    <w:rPr>
      <w:rFonts w:ascii="Tahoma" w:hAnsi="Tahoma" w:cs="Tahoma"/>
    </w:rPr>
  </w:style>
  <w:style w:type="paragraph" w:customStyle="1" w:styleId="Hoofd1">
    <w:name w:val="Hoofd1"/>
    <w:basedOn w:val="Normal"/>
    <w:rsid w:val="00796A85"/>
    <w:rPr>
      <w:b/>
      <w:color w:val="auto"/>
      <w:kern w:val="0"/>
      <w:sz w:val="24"/>
      <w:szCs w:val="24"/>
    </w:rPr>
  </w:style>
  <w:style w:type="paragraph" w:styleId="Objetducommentaire">
    <w:name w:val="annotation subject"/>
    <w:basedOn w:val="Commentaire"/>
    <w:next w:val="Commentaire"/>
    <w:semiHidden/>
    <w:rsid w:val="00C765A6"/>
    <w:rPr>
      <w:b/>
      <w:bCs/>
      <w:color w:val="000000"/>
      <w:kern w:val="28"/>
    </w:rPr>
  </w:style>
  <w:style w:type="paragraph" w:customStyle="1" w:styleId="TexteBibliographie">
    <w:name w:val="Texte Bibliographie"/>
    <w:rsid w:val="002E7FA1"/>
    <w:pPr>
      <w:spacing w:before="240" w:after="120"/>
      <w:jc w:val="both"/>
    </w:pPr>
    <w:rPr>
      <w:sz w:val="24"/>
      <w:szCs w:val="24"/>
      <w:lang w:val="fr-BE"/>
    </w:rPr>
  </w:style>
  <w:style w:type="paragraph" w:styleId="TM3">
    <w:name w:val="toc 3"/>
    <w:basedOn w:val="Normal"/>
    <w:next w:val="Normal"/>
    <w:autoRedefine/>
    <w:semiHidden/>
    <w:rsid w:val="001C7A5C"/>
    <w:pPr>
      <w:ind w:left="400"/>
    </w:pPr>
  </w:style>
  <w:style w:type="paragraph" w:styleId="TM1">
    <w:name w:val="toc 1"/>
    <w:basedOn w:val="Normal"/>
    <w:next w:val="Normal"/>
    <w:autoRedefine/>
    <w:semiHidden/>
    <w:rsid w:val="001C7A5C"/>
  </w:style>
  <w:style w:type="paragraph" w:styleId="Notedefin">
    <w:name w:val="endnote text"/>
    <w:basedOn w:val="Normal"/>
    <w:semiHidden/>
    <w:rsid w:val="008E084B"/>
  </w:style>
  <w:style w:type="character" w:styleId="Appeldenotedefin">
    <w:name w:val="endnote reference"/>
    <w:basedOn w:val="Policepardfaut"/>
    <w:semiHidden/>
    <w:rsid w:val="008E084B"/>
    <w:rPr>
      <w:vertAlign w:val="superscript"/>
    </w:rPr>
  </w:style>
  <w:style w:type="character" w:customStyle="1" w:styleId="longtext1">
    <w:name w:val="long_text1"/>
    <w:basedOn w:val="Policepardfaut"/>
    <w:rsid w:val="009D6429"/>
    <w:rPr>
      <w:sz w:val="20"/>
      <w:szCs w:val="20"/>
    </w:rPr>
  </w:style>
  <w:style w:type="character" w:styleId="CitationHTML">
    <w:name w:val="HTML Cite"/>
    <w:basedOn w:val="Policepardfaut"/>
    <w:rsid w:val="00A040F6"/>
    <w:rPr>
      <w:i/>
      <w:iCs/>
    </w:rPr>
  </w:style>
  <w:style w:type="paragraph" w:styleId="TM2">
    <w:name w:val="toc 2"/>
    <w:basedOn w:val="Normal"/>
    <w:next w:val="Normal"/>
    <w:autoRedefine/>
    <w:uiPriority w:val="39"/>
    <w:rsid w:val="001E0D75"/>
    <w:pPr>
      <w:ind w:left="200"/>
    </w:pPr>
  </w:style>
  <w:style w:type="character" w:customStyle="1" w:styleId="refresult1">
    <w:name w:val="ref_result1"/>
    <w:basedOn w:val="Policepardfaut"/>
    <w:rsid w:val="00DB5C24"/>
    <w:rPr>
      <w:b w:val="0"/>
      <w:bCs w:val="0"/>
      <w:sz w:val="18"/>
      <w:szCs w:val="18"/>
    </w:rPr>
  </w:style>
  <w:style w:type="paragraph" w:customStyle="1" w:styleId="NormalJustified">
    <w:name w:val="Normal + Justified"/>
    <w:aliases w:val="Kern at 16 pt"/>
    <w:basedOn w:val="Normal"/>
    <w:link w:val="NormalJustifiedKernat16ptCharChar"/>
    <w:rsid w:val="00F13125"/>
    <w:pPr>
      <w:jc w:val="both"/>
    </w:pPr>
    <w:rPr>
      <w:color w:val="auto"/>
      <w:kern w:val="0"/>
      <w:sz w:val="24"/>
      <w:szCs w:val="24"/>
      <w:lang w:val="fr-FR"/>
    </w:rPr>
  </w:style>
  <w:style w:type="character" w:customStyle="1" w:styleId="NormalJustifiedKernat16ptCharChar">
    <w:name w:val="Normal + Justified;Kern at 16 pt Char Char"/>
    <w:basedOn w:val="Policepardfaut"/>
    <w:link w:val="NormalJustified"/>
    <w:rsid w:val="00F13125"/>
    <w:rPr>
      <w:sz w:val="24"/>
      <w:szCs w:val="24"/>
      <w:lang w:val="fr-FR" w:eastAsia="en-US"/>
    </w:rPr>
  </w:style>
  <w:style w:type="paragraph" w:customStyle="1" w:styleId="Normal11pt">
    <w:name w:val="Normal + 11 pt"/>
    <w:aliases w:val="Justified,First line:  0,95 cm,Line spacing:  Exactly 13 pt"/>
    <w:basedOn w:val="Normal"/>
    <w:rsid w:val="00FB034B"/>
    <w:pPr>
      <w:jc w:val="both"/>
    </w:pPr>
    <w:rPr>
      <w:lang w:val="fr-FR"/>
    </w:rPr>
  </w:style>
  <w:style w:type="character" w:customStyle="1" w:styleId="norm01">
    <w:name w:val="norm01"/>
    <w:basedOn w:val="Policepardfaut"/>
    <w:rsid w:val="007871B4"/>
  </w:style>
  <w:style w:type="character" w:customStyle="1" w:styleId="citationweb">
    <w:name w:val="citation web"/>
    <w:basedOn w:val="Policepardfaut"/>
    <w:rsid w:val="007871B4"/>
  </w:style>
  <w:style w:type="character" w:customStyle="1" w:styleId="atn">
    <w:name w:val="atn"/>
    <w:basedOn w:val="Policepardfaut"/>
    <w:rsid w:val="007871B4"/>
  </w:style>
  <w:style w:type="character" w:customStyle="1" w:styleId="hps">
    <w:name w:val="hps"/>
    <w:basedOn w:val="Policepardfaut"/>
    <w:rsid w:val="009F2A8D"/>
  </w:style>
  <w:style w:type="character" w:customStyle="1" w:styleId="longtext">
    <w:name w:val="long_text"/>
    <w:basedOn w:val="Policepardfaut"/>
    <w:rsid w:val="0086482C"/>
  </w:style>
  <w:style w:type="character" w:customStyle="1" w:styleId="mw-headline">
    <w:name w:val="mw-headline"/>
    <w:basedOn w:val="Policepardfaut"/>
    <w:rsid w:val="008003B1"/>
  </w:style>
  <w:style w:type="character" w:customStyle="1" w:styleId="printonly">
    <w:name w:val="printonly"/>
    <w:basedOn w:val="Policepardfaut"/>
    <w:rsid w:val="00232BC3"/>
  </w:style>
  <w:style w:type="character" w:customStyle="1" w:styleId="apple-style-span">
    <w:name w:val="apple-style-span"/>
    <w:basedOn w:val="Policepardfaut"/>
    <w:rsid w:val="00BB2983"/>
  </w:style>
  <w:style w:type="character" w:customStyle="1" w:styleId="A1">
    <w:name w:val="A1"/>
    <w:rsid w:val="0069372F"/>
    <w:rPr>
      <w:rFonts w:cs="Californian FB"/>
      <w:color w:val="000000"/>
      <w:sz w:val="22"/>
      <w:szCs w:val="22"/>
    </w:rPr>
  </w:style>
  <w:style w:type="paragraph" w:customStyle="1" w:styleId="Pa1">
    <w:name w:val="Pa1"/>
    <w:basedOn w:val="Default"/>
    <w:next w:val="Default"/>
    <w:rsid w:val="0069372F"/>
    <w:pPr>
      <w:spacing w:line="241" w:lineRule="atLeast"/>
    </w:pPr>
    <w:rPr>
      <w:rFonts w:ascii="Garamond" w:hAnsi="Garamond"/>
      <w:color w:val="auto"/>
      <w:lang w:val="fr-FR" w:eastAsia="fr-FR"/>
    </w:rPr>
  </w:style>
  <w:style w:type="character" w:customStyle="1" w:styleId="unicode">
    <w:name w:val="unicode"/>
    <w:basedOn w:val="Policepardfaut"/>
    <w:rsid w:val="00DA1866"/>
  </w:style>
  <w:style w:type="character" w:customStyle="1" w:styleId="apple-converted-space">
    <w:name w:val="apple-converted-space"/>
    <w:basedOn w:val="Policepardfaut"/>
    <w:rsid w:val="00657F3B"/>
  </w:style>
  <w:style w:type="character" w:customStyle="1" w:styleId="focusparagraph">
    <w:name w:val="focusparagraph"/>
    <w:basedOn w:val="Policepardfaut"/>
    <w:rsid w:val="00657F3B"/>
  </w:style>
  <w:style w:type="character" w:customStyle="1" w:styleId="A4">
    <w:name w:val="A4"/>
    <w:rsid w:val="00525FCB"/>
    <w:rPr>
      <w:rFonts w:cs="Californian FB"/>
      <w:color w:val="000000"/>
      <w:sz w:val="12"/>
      <w:szCs w:val="12"/>
    </w:rPr>
  </w:style>
  <w:style w:type="paragraph" w:customStyle="1" w:styleId="Footnote">
    <w:name w:val="Footnote"/>
    <w:basedOn w:val="Normal"/>
    <w:rsid w:val="001C6FEE"/>
    <w:pPr>
      <w:suppressLineNumbers/>
      <w:spacing w:after="200" w:line="276" w:lineRule="auto"/>
      <w:ind w:left="283" w:hanging="283"/>
    </w:pPr>
    <w:rPr>
      <w:rFonts w:ascii="Cambria" w:hAnsi="Cambria"/>
      <w:color w:val="auto"/>
      <w:kern w:val="0"/>
      <w:lang w:eastAsia="zh-CN" w:bidi="hi-IN"/>
    </w:rPr>
  </w:style>
  <w:style w:type="paragraph" w:styleId="Paragraphedeliste">
    <w:name w:val="List Paragraph"/>
    <w:basedOn w:val="Normal"/>
    <w:qFormat/>
    <w:rsid w:val="008E7B6F"/>
    <w:pPr>
      <w:spacing w:after="200"/>
      <w:ind w:left="720"/>
      <w:contextualSpacing/>
      <w:jc w:val="both"/>
    </w:pPr>
    <w:rPr>
      <w:rFonts w:ascii="Book Antiqua" w:hAnsi="Book Antiqua"/>
      <w:color w:val="auto"/>
      <w:kern w:val="0"/>
      <w:sz w:val="26"/>
      <w:szCs w:val="22"/>
      <w:lang w:eastAsia="zh-CN" w:bidi="hi-IN"/>
    </w:rPr>
  </w:style>
  <w:style w:type="character" w:customStyle="1" w:styleId="FooterChar">
    <w:name w:val="Footer Char"/>
    <w:basedOn w:val="Policepardfaut"/>
    <w:semiHidden/>
    <w:locked/>
    <w:rsid w:val="00D908F7"/>
    <w:rPr>
      <w:rFonts w:cs="Times New Roman"/>
      <w:sz w:val="24"/>
      <w:szCs w:val="24"/>
    </w:rPr>
  </w:style>
  <w:style w:type="character" w:customStyle="1" w:styleId="FootnoteCharacters">
    <w:name w:val="Footnote Characters"/>
    <w:rsid w:val="00D470BC"/>
    <w:rPr>
      <w:rFonts w:cs="Times New Roman"/>
      <w:vertAlign w:val="superscript"/>
    </w:rPr>
  </w:style>
  <w:style w:type="character" w:customStyle="1" w:styleId="FootnoteReference1">
    <w:name w:val="Footnote Reference1"/>
    <w:rsid w:val="00360B46"/>
    <w:rPr>
      <w:vertAlign w:val="superscript"/>
    </w:rPr>
  </w:style>
  <w:style w:type="character" w:customStyle="1" w:styleId="Caractresdenotedebasdepage">
    <w:name w:val="Caractères de note de bas de page"/>
    <w:rsid w:val="00360B46"/>
  </w:style>
  <w:style w:type="paragraph" w:customStyle="1" w:styleId="FootnoteText1">
    <w:name w:val="Footnote Text1"/>
    <w:basedOn w:val="Normal"/>
    <w:rsid w:val="00360B46"/>
    <w:pPr>
      <w:suppressAutoHyphens/>
      <w:jc w:val="both"/>
    </w:pPr>
    <w:rPr>
      <w:rFonts w:eastAsia="SimSun" w:cs="Calibri"/>
      <w:color w:val="auto"/>
      <w:kern w:val="1"/>
      <w:lang w:val="fr-CA" w:eastAsia="ar-SA"/>
    </w:rPr>
  </w:style>
  <w:style w:type="paragraph" w:styleId="Corpsdetexte2">
    <w:name w:val="Body Text 2"/>
    <w:basedOn w:val="Normal"/>
    <w:link w:val="Corpsdetexte2Car"/>
    <w:rsid w:val="00B44D2F"/>
    <w:pPr>
      <w:spacing w:after="120" w:line="480" w:lineRule="auto"/>
    </w:pPr>
  </w:style>
  <w:style w:type="character" w:customStyle="1" w:styleId="Corpsdetexte2Car">
    <w:name w:val="Corps de texte 2 Car"/>
    <w:basedOn w:val="Policepardfaut"/>
    <w:link w:val="Corpsdetexte2"/>
    <w:rsid w:val="00B44D2F"/>
    <w:rPr>
      <w:color w:val="000000"/>
      <w:kern w:val="28"/>
    </w:rPr>
  </w:style>
  <w:style w:type="character" w:customStyle="1" w:styleId="st">
    <w:name w:val="st"/>
    <w:basedOn w:val="Policepardfaut"/>
    <w:rsid w:val="00B00A29"/>
  </w:style>
  <w:style w:type="paragraph" w:styleId="En-ttedetabledesmatires">
    <w:name w:val="TOC Heading"/>
    <w:basedOn w:val="Titre1"/>
    <w:next w:val="Normal"/>
    <w:uiPriority w:val="39"/>
    <w:unhideWhenUsed/>
    <w:qFormat/>
    <w:rsid w:val="002A31BD"/>
    <w:pPr>
      <w:keepNext/>
      <w:keepLines/>
      <w:contextualSpacing w:val="0"/>
      <w:outlineLvl w:val="9"/>
    </w:pPr>
    <w:rPr>
      <w:rFonts w:asciiTheme="majorHAnsi" w:eastAsiaTheme="majorEastAsia" w:hAnsiTheme="majorHAnsi" w:cstheme="majorBidi"/>
      <w:color w:val="365F91" w:themeColor="accent1" w:themeShade="BF"/>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0B56"/>
    <w:rPr>
      <w:color w:val="000000"/>
      <w:kern w:val="28"/>
    </w:rPr>
  </w:style>
  <w:style w:type="paragraph" w:styleId="Heading1">
    <w:name w:val="heading 1"/>
    <w:basedOn w:val="Normal"/>
    <w:next w:val="Normal"/>
    <w:link w:val="Heading1Char"/>
    <w:qFormat/>
    <w:rsid w:val="003B7377"/>
    <w:pPr>
      <w:spacing w:before="480" w:line="276" w:lineRule="auto"/>
      <w:contextualSpacing/>
      <w:outlineLvl w:val="0"/>
    </w:pPr>
    <w:rPr>
      <w:rFonts w:ascii="Trebuchet MS" w:hAnsi="Trebuchet MS"/>
      <w:b/>
      <w:bCs/>
      <w:color w:val="auto"/>
      <w:kern w:val="0"/>
      <w:sz w:val="28"/>
      <w:szCs w:val="28"/>
      <w:lang w:bidi="en-US"/>
    </w:rPr>
  </w:style>
  <w:style w:type="paragraph" w:styleId="Heading2">
    <w:name w:val="heading 2"/>
    <w:basedOn w:val="Normal"/>
    <w:next w:val="Normal"/>
    <w:link w:val="Heading2Char"/>
    <w:qFormat/>
    <w:rsid w:val="003B7377"/>
    <w:pPr>
      <w:spacing w:before="200" w:line="276" w:lineRule="auto"/>
      <w:outlineLvl w:val="1"/>
    </w:pPr>
    <w:rPr>
      <w:rFonts w:ascii="Trebuchet MS" w:hAnsi="Trebuchet MS"/>
      <w:b/>
      <w:bCs/>
      <w:color w:val="auto"/>
      <w:kern w:val="0"/>
      <w:sz w:val="26"/>
      <w:szCs w:val="26"/>
      <w:lang w:bidi="en-US"/>
    </w:rPr>
  </w:style>
  <w:style w:type="paragraph" w:styleId="Heading3">
    <w:name w:val="heading 3"/>
    <w:basedOn w:val="Normal"/>
    <w:next w:val="Normal"/>
    <w:link w:val="Heading3Char"/>
    <w:qFormat/>
    <w:rsid w:val="00CE305A"/>
    <w:pPr>
      <w:keepNext/>
      <w:spacing w:before="240" w:after="60"/>
      <w:jc w:val="both"/>
      <w:outlineLvl w:val="2"/>
    </w:pPr>
    <w:rPr>
      <w:rFonts w:ascii="Arial" w:hAnsi="Arial" w:cs="Arial"/>
      <w:b/>
      <w:bCs/>
      <w:noProof/>
      <w:color w:val="auto"/>
      <w:kern w:val="0"/>
      <w:sz w:val="26"/>
      <w:szCs w:val="26"/>
      <w:lang w:val="fr-BE" w:eastAsia="fr-FR"/>
    </w:rPr>
  </w:style>
  <w:style w:type="paragraph" w:styleId="Heading4">
    <w:name w:val="heading 4"/>
    <w:basedOn w:val="Normal"/>
    <w:next w:val="Normal"/>
    <w:link w:val="Heading4Char"/>
    <w:qFormat/>
    <w:rsid w:val="00C011FA"/>
    <w:pPr>
      <w:keepNext/>
      <w:spacing w:before="240" w:after="60"/>
      <w:outlineLvl w:val="3"/>
    </w:pPr>
    <w:rPr>
      <w:b/>
      <w:bCs/>
      <w:sz w:val="28"/>
      <w:szCs w:val="28"/>
    </w:rPr>
  </w:style>
  <w:style w:type="paragraph" w:styleId="Heading5">
    <w:name w:val="heading 5"/>
    <w:basedOn w:val="Normal"/>
    <w:next w:val="Normal"/>
    <w:qFormat/>
    <w:rsid w:val="00C011FA"/>
    <w:pPr>
      <w:numPr>
        <w:ilvl w:val="4"/>
        <w:numId w:val="1"/>
      </w:numPr>
      <w:tabs>
        <w:tab w:val="left" w:pos="0"/>
      </w:tabs>
      <w:spacing w:before="240" w:after="60"/>
      <w:jc w:val="both"/>
      <w:outlineLvl w:val="4"/>
    </w:pPr>
    <w:rPr>
      <w:rFonts w:ascii="Arial" w:hAnsi="Arial"/>
      <w:b/>
      <w:bCs/>
      <w:i/>
      <w:iCs/>
      <w:color w:val="auto"/>
      <w:kern w:val="0"/>
      <w:sz w:val="26"/>
      <w:szCs w:val="26"/>
      <w:lang w:val="fr-FR"/>
    </w:rPr>
  </w:style>
  <w:style w:type="paragraph" w:styleId="Heading6">
    <w:name w:val="heading 6"/>
    <w:basedOn w:val="Normal"/>
    <w:next w:val="Normal"/>
    <w:qFormat/>
    <w:rsid w:val="00C011FA"/>
    <w:pPr>
      <w:numPr>
        <w:ilvl w:val="5"/>
        <w:numId w:val="1"/>
      </w:numPr>
      <w:tabs>
        <w:tab w:val="left" w:pos="0"/>
      </w:tabs>
      <w:spacing w:before="240" w:after="60"/>
      <w:jc w:val="both"/>
      <w:outlineLvl w:val="5"/>
    </w:pPr>
    <w:rPr>
      <w:rFonts w:ascii="Arial" w:hAnsi="Arial"/>
      <w:b/>
      <w:bCs/>
      <w:color w:val="auto"/>
      <w:kern w:val="0"/>
      <w:sz w:val="22"/>
      <w:szCs w:val="22"/>
      <w:lang w:val="fr-BE"/>
    </w:rPr>
  </w:style>
  <w:style w:type="paragraph" w:styleId="Heading7">
    <w:name w:val="heading 7"/>
    <w:basedOn w:val="Normal"/>
    <w:next w:val="Normal"/>
    <w:qFormat/>
    <w:rsid w:val="00C011FA"/>
    <w:pPr>
      <w:numPr>
        <w:ilvl w:val="6"/>
        <w:numId w:val="1"/>
      </w:numPr>
      <w:tabs>
        <w:tab w:val="left" w:pos="0"/>
      </w:tabs>
      <w:spacing w:before="240" w:after="60"/>
      <w:jc w:val="both"/>
      <w:outlineLvl w:val="6"/>
    </w:pPr>
    <w:rPr>
      <w:rFonts w:ascii="Arial" w:hAnsi="Arial"/>
      <w:color w:val="auto"/>
      <w:kern w:val="0"/>
      <w:sz w:val="24"/>
      <w:szCs w:val="24"/>
      <w:lang w:val="fr-FR"/>
    </w:rPr>
  </w:style>
  <w:style w:type="paragraph" w:styleId="Heading8">
    <w:name w:val="heading 8"/>
    <w:basedOn w:val="Normal"/>
    <w:next w:val="Normal"/>
    <w:qFormat/>
    <w:rsid w:val="00C011FA"/>
    <w:pPr>
      <w:numPr>
        <w:ilvl w:val="7"/>
        <w:numId w:val="1"/>
      </w:numPr>
      <w:tabs>
        <w:tab w:val="left" w:pos="0"/>
      </w:tabs>
      <w:spacing w:before="240" w:after="60"/>
      <w:jc w:val="both"/>
      <w:outlineLvl w:val="7"/>
    </w:pPr>
    <w:rPr>
      <w:rFonts w:ascii="Arial" w:hAnsi="Arial"/>
      <w:i/>
      <w:iCs/>
      <w:color w:val="auto"/>
      <w:kern w:val="0"/>
      <w:sz w:val="24"/>
      <w:szCs w:val="24"/>
      <w:lang w:val="fr-FR"/>
    </w:rPr>
  </w:style>
  <w:style w:type="paragraph" w:styleId="Heading9">
    <w:name w:val="heading 9"/>
    <w:basedOn w:val="Normal"/>
    <w:next w:val="Normal"/>
    <w:qFormat/>
    <w:rsid w:val="00C011FA"/>
    <w:pPr>
      <w:numPr>
        <w:ilvl w:val="8"/>
        <w:numId w:val="1"/>
      </w:numPr>
      <w:tabs>
        <w:tab w:val="left" w:pos="0"/>
      </w:tabs>
      <w:spacing w:before="240" w:after="60"/>
      <w:jc w:val="both"/>
      <w:outlineLvl w:val="8"/>
    </w:pPr>
    <w:rPr>
      <w:rFonts w:ascii="Arial" w:hAnsi="Arial" w:cs="Arial"/>
      <w:color w:val="auto"/>
      <w:kern w:val="0"/>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B7377"/>
    <w:rPr>
      <w:rFonts w:ascii="Trebuchet MS" w:hAnsi="Trebuchet MS"/>
      <w:b/>
      <w:bCs/>
      <w:sz w:val="28"/>
      <w:szCs w:val="28"/>
      <w:lang w:val="en-US" w:eastAsia="en-US" w:bidi="en-US"/>
    </w:rPr>
  </w:style>
  <w:style w:type="character" w:customStyle="1" w:styleId="Heading2Char">
    <w:name w:val="Heading 2 Char"/>
    <w:basedOn w:val="DefaultParagraphFont"/>
    <w:link w:val="Heading2"/>
    <w:locked/>
    <w:rsid w:val="003B7377"/>
    <w:rPr>
      <w:rFonts w:ascii="Trebuchet MS" w:hAnsi="Trebuchet MS"/>
      <w:b/>
      <w:bCs/>
      <w:sz w:val="26"/>
      <w:szCs w:val="26"/>
      <w:lang w:val="en-US" w:eastAsia="en-US" w:bidi="en-US"/>
    </w:rPr>
  </w:style>
  <w:style w:type="character" w:customStyle="1" w:styleId="Heading3Char">
    <w:name w:val="Heading 3 Char"/>
    <w:basedOn w:val="DefaultParagraphFont"/>
    <w:link w:val="Heading3"/>
    <w:locked/>
    <w:rsid w:val="00C011FA"/>
    <w:rPr>
      <w:rFonts w:ascii="Arial" w:hAnsi="Arial" w:cs="Arial"/>
      <w:b/>
      <w:bCs/>
      <w:noProof/>
      <w:sz w:val="26"/>
      <w:szCs w:val="26"/>
      <w:lang w:val="fr-BE" w:eastAsia="fr-FR" w:bidi="ar-SA"/>
    </w:rPr>
  </w:style>
  <w:style w:type="character" w:customStyle="1" w:styleId="Heading4Char">
    <w:name w:val="Heading 4 Char"/>
    <w:basedOn w:val="DefaultParagraphFont"/>
    <w:link w:val="Heading4"/>
    <w:locked/>
    <w:rsid w:val="00C011FA"/>
    <w:rPr>
      <w:b/>
      <w:bCs/>
      <w:color w:val="000000"/>
      <w:kern w:val="28"/>
      <w:sz w:val="28"/>
      <w:szCs w:val="28"/>
      <w:lang w:val="en-US" w:eastAsia="en-US" w:bidi="ar-SA"/>
    </w:rPr>
  </w:style>
  <w:style w:type="character" w:styleId="Hyperlink">
    <w:name w:val="Hyperlink"/>
    <w:basedOn w:val="DefaultParagraphFont"/>
    <w:uiPriority w:val="99"/>
    <w:rsid w:val="007072B7"/>
    <w:rPr>
      <w:color w:val="800080"/>
      <w:u w:val="single"/>
    </w:rPr>
  </w:style>
  <w:style w:type="paragraph" w:styleId="FootnoteText">
    <w:name w:val="footnote text"/>
    <w:aliases w:val=" Car Car,Car Car"/>
    <w:basedOn w:val="Normal"/>
    <w:link w:val="FootnoteTextChar1"/>
    <w:rsid w:val="007072B7"/>
  </w:style>
  <w:style w:type="character" w:customStyle="1" w:styleId="FootnoteTextChar1">
    <w:name w:val="Footnote Text Char1"/>
    <w:aliases w:val=" Car Car Char,Car Car Char1"/>
    <w:basedOn w:val="DefaultParagraphFont"/>
    <w:link w:val="FootnoteText"/>
    <w:locked/>
    <w:rsid w:val="003B7377"/>
    <w:rPr>
      <w:color w:val="000000"/>
      <w:kern w:val="28"/>
      <w:lang w:val="en-US" w:eastAsia="en-US" w:bidi="ar-SA"/>
    </w:rPr>
  </w:style>
  <w:style w:type="character" w:styleId="FollowedHyperlink">
    <w:name w:val="FollowedHyperlink"/>
    <w:basedOn w:val="DefaultParagraphFont"/>
    <w:rsid w:val="006E367F"/>
    <w:rPr>
      <w:color w:val="800080"/>
      <w:u w:val="single"/>
    </w:rPr>
  </w:style>
  <w:style w:type="character" w:styleId="FootnoteReference">
    <w:name w:val="footnote reference"/>
    <w:basedOn w:val="DefaultParagraphFont"/>
    <w:rsid w:val="006E367F"/>
    <w:rPr>
      <w:vertAlign w:val="superscript"/>
    </w:rPr>
  </w:style>
  <w:style w:type="character" w:styleId="CommentReference">
    <w:name w:val="annotation reference"/>
    <w:basedOn w:val="DefaultParagraphFont"/>
    <w:semiHidden/>
    <w:rsid w:val="006E367F"/>
    <w:rPr>
      <w:sz w:val="16"/>
      <w:szCs w:val="16"/>
    </w:rPr>
  </w:style>
  <w:style w:type="paragraph" w:styleId="CommentText">
    <w:name w:val="annotation text"/>
    <w:basedOn w:val="Normal"/>
    <w:semiHidden/>
    <w:rsid w:val="006E367F"/>
    <w:rPr>
      <w:color w:val="auto"/>
      <w:kern w:val="0"/>
    </w:rPr>
  </w:style>
  <w:style w:type="paragraph" w:styleId="BalloonText">
    <w:name w:val="Balloon Text"/>
    <w:basedOn w:val="Normal"/>
    <w:semiHidden/>
    <w:rsid w:val="006E367F"/>
    <w:rPr>
      <w:rFonts w:ascii="Tahoma" w:hAnsi="Tahoma" w:cs="Tahoma"/>
      <w:sz w:val="16"/>
      <w:szCs w:val="16"/>
    </w:rPr>
  </w:style>
  <w:style w:type="paragraph" w:styleId="Title">
    <w:name w:val="Title"/>
    <w:basedOn w:val="Normal"/>
    <w:next w:val="Normal"/>
    <w:link w:val="TitleChar"/>
    <w:qFormat/>
    <w:rsid w:val="003B7377"/>
    <w:pPr>
      <w:pBdr>
        <w:bottom w:val="single" w:sz="4" w:space="1" w:color="auto"/>
      </w:pBdr>
      <w:spacing w:after="200"/>
      <w:contextualSpacing/>
    </w:pPr>
    <w:rPr>
      <w:rFonts w:ascii="Trebuchet MS" w:hAnsi="Trebuchet MS"/>
      <w:color w:val="auto"/>
      <w:spacing w:val="5"/>
      <w:kern w:val="0"/>
      <w:sz w:val="52"/>
      <w:szCs w:val="52"/>
      <w:lang w:bidi="en-US"/>
    </w:rPr>
  </w:style>
  <w:style w:type="character" w:customStyle="1" w:styleId="TitleChar">
    <w:name w:val="Title Char"/>
    <w:basedOn w:val="DefaultParagraphFont"/>
    <w:link w:val="Title"/>
    <w:locked/>
    <w:rsid w:val="003B7377"/>
    <w:rPr>
      <w:rFonts w:ascii="Trebuchet MS" w:hAnsi="Trebuchet MS"/>
      <w:spacing w:val="5"/>
      <w:sz w:val="52"/>
      <w:szCs w:val="52"/>
      <w:lang w:val="en-US" w:eastAsia="en-US" w:bidi="en-US"/>
    </w:rPr>
  </w:style>
  <w:style w:type="paragraph" w:customStyle="1" w:styleId="Citation">
    <w:name w:val="Citation"/>
    <w:basedOn w:val="Normal"/>
    <w:next w:val="Normal"/>
    <w:link w:val="CitationCar"/>
    <w:qFormat/>
    <w:rsid w:val="003B7377"/>
    <w:pPr>
      <w:spacing w:before="200" w:line="276" w:lineRule="auto"/>
      <w:ind w:left="360" w:right="360"/>
    </w:pPr>
    <w:rPr>
      <w:rFonts w:ascii="Georgia" w:hAnsi="Georgia"/>
      <w:i/>
      <w:iCs/>
      <w:color w:val="auto"/>
      <w:kern w:val="0"/>
      <w:sz w:val="22"/>
      <w:szCs w:val="22"/>
      <w:lang w:bidi="en-US"/>
    </w:rPr>
  </w:style>
  <w:style w:type="character" w:customStyle="1" w:styleId="CitationCar">
    <w:name w:val="Citation Car"/>
    <w:basedOn w:val="DefaultParagraphFont"/>
    <w:link w:val="Citation"/>
    <w:locked/>
    <w:rsid w:val="003B7377"/>
    <w:rPr>
      <w:rFonts w:ascii="Georgia" w:hAnsi="Georgia"/>
      <w:i/>
      <w:iCs/>
      <w:sz w:val="22"/>
      <w:szCs w:val="22"/>
      <w:lang w:val="en-US" w:eastAsia="en-US" w:bidi="en-US"/>
    </w:rPr>
  </w:style>
  <w:style w:type="paragraph" w:customStyle="1" w:styleId="Auteur">
    <w:name w:val="Auteur"/>
    <w:basedOn w:val="Normal"/>
    <w:next w:val="Normal"/>
    <w:rsid w:val="003B7377"/>
    <w:pPr>
      <w:spacing w:after="200" w:line="276" w:lineRule="auto"/>
    </w:pPr>
    <w:rPr>
      <w:rFonts w:ascii="Georgia" w:hAnsi="Georgia"/>
      <w:smallCaps/>
      <w:color w:val="auto"/>
      <w:spacing w:val="20"/>
      <w:kern w:val="0"/>
      <w:sz w:val="22"/>
      <w:szCs w:val="22"/>
      <w:lang w:val="fr-BE" w:bidi="en-US"/>
    </w:rPr>
  </w:style>
  <w:style w:type="paragraph" w:styleId="Caption">
    <w:name w:val="caption"/>
    <w:basedOn w:val="Normal"/>
    <w:next w:val="Normal"/>
    <w:qFormat/>
    <w:rsid w:val="003B7377"/>
    <w:pPr>
      <w:spacing w:after="200" w:line="276" w:lineRule="auto"/>
    </w:pPr>
    <w:rPr>
      <w:rFonts w:ascii="Georgia" w:hAnsi="Georgia"/>
      <w:b/>
      <w:bCs/>
      <w:color w:val="auto"/>
      <w:kern w:val="0"/>
      <w:lang w:bidi="en-US"/>
    </w:rPr>
  </w:style>
  <w:style w:type="paragraph" w:styleId="Footer">
    <w:name w:val="footer"/>
    <w:basedOn w:val="Normal"/>
    <w:link w:val="FooterChar1"/>
    <w:rsid w:val="003B7377"/>
    <w:pPr>
      <w:tabs>
        <w:tab w:val="center" w:pos="4536"/>
        <w:tab w:val="right" w:pos="9072"/>
      </w:tabs>
    </w:pPr>
  </w:style>
  <w:style w:type="character" w:customStyle="1" w:styleId="FooterChar1">
    <w:name w:val="Footer Char1"/>
    <w:basedOn w:val="DefaultParagraphFont"/>
    <w:link w:val="Footer"/>
    <w:rsid w:val="00C011FA"/>
    <w:rPr>
      <w:color w:val="000000"/>
      <w:kern w:val="28"/>
      <w:lang w:val="en-US" w:eastAsia="en-US" w:bidi="ar-SA"/>
    </w:rPr>
  </w:style>
  <w:style w:type="character" w:styleId="PageNumber">
    <w:name w:val="page number"/>
    <w:basedOn w:val="DefaultParagraphFont"/>
    <w:rsid w:val="003B7377"/>
  </w:style>
  <w:style w:type="paragraph" w:styleId="NormalWeb">
    <w:name w:val="Normal (Web)"/>
    <w:basedOn w:val="Normal"/>
    <w:rsid w:val="00CE305A"/>
    <w:pPr>
      <w:spacing w:before="100" w:beforeAutospacing="1" w:after="100" w:afterAutospacing="1"/>
    </w:pPr>
    <w:rPr>
      <w:rFonts w:ascii="Arial Unicode MS" w:eastAsia="Arial Unicode MS" w:hAnsi="Arial Unicode MS" w:cs="Arial Unicode MS"/>
      <w:noProof/>
      <w:color w:val="auto"/>
      <w:kern w:val="0"/>
      <w:sz w:val="24"/>
      <w:szCs w:val="24"/>
      <w:lang w:val="fr-FR" w:eastAsia="fr-FR"/>
    </w:rPr>
  </w:style>
  <w:style w:type="paragraph" w:customStyle="1" w:styleId="bodytext">
    <w:name w:val="bodytext"/>
    <w:basedOn w:val="Normal"/>
    <w:rsid w:val="00CE305A"/>
    <w:pPr>
      <w:spacing w:before="75"/>
    </w:pPr>
    <w:rPr>
      <w:color w:val="auto"/>
      <w:kern w:val="0"/>
      <w:sz w:val="24"/>
      <w:szCs w:val="24"/>
    </w:rPr>
  </w:style>
  <w:style w:type="table" w:styleId="TableGrid">
    <w:name w:val="Table Grid"/>
    <w:basedOn w:val="TableNormal"/>
    <w:rsid w:val="00CE30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CE305A"/>
    <w:rPr>
      <w:b/>
      <w:bCs/>
    </w:rPr>
  </w:style>
  <w:style w:type="paragraph" w:styleId="Header">
    <w:name w:val="header"/>
    <w:basedOn w:val="Normal"/>
    <w:rsid w:val="0077191D"/>
    <w:pPr>
      <w:tabs>
        <w:tab w:val="center" w:pos="4536"/>
        <w:tab w:val="right" w:pos="9072"/>
      </w:tabs>
    </w:pPr>
  </w:style>
  <w:style w:type="character" w:customStyle="1" w:styleId="numverset1">
    <w:name w:val="num_verset1"/>
    <w:basedOn w:val="DefaultParagraphFont"/>
    <w:rsid w:val="00614CDC"/>
    <w:rPr>
      <w:sz w:val="10"/>
      <w:szCs w:val="10"/>
    </w:rPr>
  </w:style>
  <w:style w:type="table" w:styleId="TableClassic2">
    <w:name w:val="Table Classic 2"/>
    <w:basedOn w:val="TableNormal"/>
    <w:rsid w:val="006D1BE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Default">
    <w:name w:val="Default"/>
    <w:rsid w:val="006D1BEF"/>
    <w:pPr>
      <w:autoSpaceDE w:val="0"/>
      <w:autoSpaceDN w:val="0"/>
      <w:adjustRightInd w:val="0"/>
    </w:pPr>
    <w:rPr>
      <w:color w:val="000000"/>
      <w:sz w:val="24"/>
      <w:szCs w:val="24"/>
    </w:rPr>
  </w:style>
  <w:style w:type="character" w:customStyle="1" w:styleId="Heading2Char1">
    <w:name w:val="Heading 2 Char1"/>
    <w:basedOn w:val="DefaultParagraphFont"/>
    <w:locked/>
    <w:rsid w:val="00C011FA"/>
    <w:rPr>
      <w:rFonts w:ascii="Arial" w:hAnsi="Arial" w:cs="Arial"/>
      <w:b/>
      <w:bCs/>
      <w:iCs/>
      <w:sz w:val="24"/>
      <w:szCs w:val="28"/>
      <w:u w:val="single"/>
      <w:lang w:val="en-ZA" w:eastAsia="en-US" w:bidi="ar-SA"/>
    </w:rPr>
  </w:style>
  <w:style w:type="character" w:customStyle="1" w:styleId="FootnoteTextChar">
    <w:name w:val="Footnote Text Char"/>
    <w:aliases w:val="Car Car Char"/>
    <w:basedOn w:val="DefaultParagraphFont"/>
    <w:uiPriority w:val="99"/>
    <w:locked/>
    <w:rsid w:val="00C011FA"/>
    <w:rPr>
      <w:rFonts w:ascii="Arial" w:hAnsi="Arial" w:cs="Arial"/>
      <w:lang w:val="fr-FR" w:eastAsia="en-US" w:bidi="ar-SA"/>
    </w:rPr>
  </w:style>
  <w:style w:type="character" w:customStyle="1" w:styleId="BodyTextChar">
    <w:name w:val="Body Text Char"/>
    <w:basedOn w:val="DefaultParagraphFont"/>
    <w:link w:val="BodyText0"/>
    <w:semiHidden/>
    <w:locked/>
    <w:rsid w:val="00C011FA"/>
    <w:rPr>
      <w:rFonts w:ascii="Arial" w:hAnsi="Arial" w:cs="Arial"/>
      <w:sz w:val="24"/>
      <w:szCs w:val="24"/>
      <w:lang w:val="en-US" w:eastAsia="en-US" w:bidi="ar-SA"/>
    </w:rPr>
  </w:style>
  <w:style w:type="paragraph" w:styleId="BodyText0">
    <w:name w:val="Body Text"/>
    <w:basedOn w:val="Normal"/>
    <w:link w:val="BodyTextChar"/>
    <w:rsid w:val="00C011FA"/>
    <w:pPr>
      <w:tabs>
        <w:tab w:val="left" w:pos="0"/>
      </w:tabs>
      <w:spacing w:after="120"/>
      <w:ind w:right="-340"/>
      <w:jc w:val="both"/>
    </w:pPr>
    <w:rPr>
      <w:rFonts w:ascii="Arial" w:hAnsi="Arial" w:cs="Arial"/>
      <w:color w:val="auto"/>
      <w:kern w:val="0"/>
      <w:sz w:val="24"/>
      <w:szCs w:val="24"/>
    </w:rPr>
  </w:style>
  <w:style w:type="character" w:customStyle="1" w:styleId="fpred">
    <w:name w:val="fp_red"/>
    <w:basedOn w:val="DefaultParagraphFont"/>
    <w:rsid w:val="00C011FA"/>
    <w:rPr>
      <w:b/>
      <w:bCs/>
      <w:color w:val="8C182D"/>
    </w:rPr>
  </w:style>
  <w:style w:type="character" w:customStyle="1" w:styleId="t13">
    <w:name w:val="t13"/>
    <w:basedOn w:val="DefaultParagraphFont"/>
    <w:rsid w:val="00344EAB"/>
  </w:style>
  <w:style w:type="paragraph" w:customStyle="1" w:styleId="articletext">
    <w:name w:val="articletext"/>
    <w:basedOn w:val="Normal"/>
    <w:rsid w:val="00344EAB"/>
    <w:pPr>
      <w:spacing w:before="100" w:beforeAutospacing="1" w:after="100" w:afterAutospacing="1"/>
      <w:jc w:val="both"/>
    </w:pPr>
    <w:rPr>
      <w:rFonts w:ascii="Verdana" w:hAnsi="Verdana"/>
      <w:color w:val="2A2A2A"/>
      <w:kern w:val="0"/>
      <w:sz w:val="17"/>
      <w:szCs w:val="17"/>
    </w:rPr>
  </w:style>
  <w:style w:type="character" w:styleId="Emphasis">
    <w:name w:val="Emphasis"/>
    <w:basedOn w:val="DefaultParagraphFont"/>
    <w:qFormat/>
    <w:rsid w:val="00344EAB"/>
    <w:rPr>
      <w:i/>
      <w:iCs/>
    </w:rPr>
  </w:style>
  <w:style w:type="character" w:customStyle="1" w:styleId="Hyperlink2">
    <w:name w:val="Hyperlink2"/>
    <w:basedOn w:val="DefaultParagraphFont"/>
    <w:rsid w:val="00344EAB"/>
    <w:rPr>
      <w:b/>
      <w:bCs/>
      <w:color w:val="003399"/>
      <w:u w:val="single"/>
    </w:rPr>
  </w:style>
  <w:style w:type="paragraph" w:customStyle="1" w:styleId="inside-copy">
    <w:name w:val="inside-copy"/>
    <w:basedOn w:val="Normal"/>
    <w:rsid w:val="00344EAB"/>
    <w:pPr>
      <w:spacing w:before="100" w:beforeAutospacing="1" w:after="100" w:afterAutospacing="1" w:line="225" w:lineRule="atLeast"/>
    </w:pPr>
    <w:rPr>
      <w:kern w:val="0"/>
      <w:sz w:val="18"/>
      <w:szCs w:val="18"/>
    </w:rPr>
  </w:style>
  <w:style w:type="paragraph" w:styleId="DocumentMap">
    <w:name w:val="Document Map"/>
    <w:basedOn w:val="Normal"/>
    <w:semiHidden/>
    <w:rsid w:val="00C428E0"/>
    <w:pPr>
      <w:shd w:val="clear" w:color="auto" w:fill="000080"/>
    </w:pPr>
    <w:rPr>
      <w:rFonts w:ascii="Tahoma" w:hAnsi="Tahoma" w:cs="Tahoma"/>
    </w:rPr>
  </w:style>
  <w:style w:type="paragraph" w:customStyle="1" w:styleId="Hoofd1">
    <w:name w:val="Hoofd1"/>
    <w:basedOn w:val="Normal"/>
    <w:rsid w:val="00796A85"/>
    <w:rPr>
      <w:b/>
      <w:color w:val="auto"/>
      <w:kern w:val="0"/>
      <w:sz w:val="24"/>
      <w:szCs w:val="24"/>
    </w:rPr>
  </w:style>
  <w:style w:type="paragraph" w:styleId="CommentSubject">
    <w:name w:val="annotation subject"/>
    <w:basedOn w:val="CommentText"/>
    <w:next w:val="CommentText"/>
    <w:semiHidden/>
    <w:rsid w:val="00C765A6"/>
    <w:rPr>
      <w:b/>
      <w:bCs/>
      <w:color w:val="000000"/>
      <w:kern w:val="28"/>
    </w:rPr>
  </w:style>
  <w:style w:type="paragraph" w:customStyle="1" w:styleId="TexteBibliographie">
    <w:name w:val="Texte Bibliographie"/>
    <w:rsid w:val="002E7FA1"/>
    <w:pPr>
      <w:spacing w:before="240" w:after="120"/>
      <w:jc w:val="both"/>
    </w:pPr>
    <w:rPr>
      <w:sz w:val="24"/>
      <w:szCs w:val="24"/>
      <w:lang w:val="fr-BE"/>
    </w:rPr>
  </w:style>
  <w:style w:type="paragraph" w:styleId="TOC3">
    <w:name w:val="toc 3"/>
    <w:basedOn w:val="Normal"/>
    <w:next w:val="Normal"/>
    <w:autoRedefine/>
    <w:semiHidden/>
    <w:rsid w:val="001C7A5C"/>
    <w:pPr>
      <w:ind w:left="400"/>
    </w:pPr>
  </w:style>
  <w:style w:type="paragraph" w:styleId="TOC1">
    <w:name w:val="toc 1"/>
    <w:basedOn w:val="Normal"/>
    <w:next w:val="Normal"/>
    <w:autoRedefine/>
    <w:semiHidden/>
    <w:rsid w:val="001C7A5C"/>
  </w:style>
  <w:style w:type="paragraph" w:styleId="EndnoteText">
    <w:name w:val="endnote text"/>
    <w:basedOn w:val="Normal"/>
    <w:semiHidden/>
    <w:rsid w:val="008E084B"/>
  </w:style>
  <w:style w:type="character" w:styleId="EndnoteReference">
    <w:name w:val="endnote reference"/>
    <w:basedOn w:val="DefaultParagraphFont"/>
    <w:semiHidden/>
    <w:rsid w:val="008E084B"/>
    <w:rPr>
      <w:vertAlign w:val="superscript"/>
    </w:rPr>
  </w:style>
  <w:style w:type="character" w:customStyle="1" w:styleId="longtext1">
    <w:name w:val="long_text1"/>
    <w:basedOn w:val="DefaultParagraphFont"/>
    <w:rsid w:val="009D6429"/>
    <w:rPr>
      <w:sz w:val="20"/>
      <w:szCs w:val="20"/>
    </w:rPr>
  </w:style>
  <w:style w:type="character" w:styleId="HTMLCite">
    <w:name w:val="HTML Cite"/>
    <w:basedOn w:val="DefaultParagraphFont"/>
    <w:rsid w:val="00A040F6"/>
    <w:rPr>
      <w:i/>
      <w:iCs/>
    </w:rPr>
  </w:style>
  <w:style w:type="paragraph" w:styleId="TOC2">
    <w:name w:val="toc 2"/>
    <w:basedOn w:val="Normal"/>
    <w:next w:val="Normal"/>
    <w:autoRedefine/>
    <w:uiPriority w:val="39"/>
    <w:rsid w:val="001E0D75"/>
    <w:pPr>
      <w:ind w:left="200"/>
    </w:pPr>
  </w:style>
  <w:style w:type="character" w:customStyle="1" w:styleId="refresult1">
    <w:name w:val="ref_result1"/>
    <w:basedOn w:val="DefaultParagraphFont"/>
    <w:rsid w:val="00DB5C24"/>
    <w:rPr>
      <w:b w:val="0"/>
      <w:bCs w:val="0"/>
      <w:sz w:val="18"/>
      <w:szCs w:val="18"/>
    </w:rPr>
  </w:style>
  <w:style w:type="paragraph" w:customStyle="1" w:styleId="NormalJustified">
    <w:name w:val="Normal + Justified"/>
    <w:aliases w:val="Kern at 16 pt"/>
    <w:basedOn w:val="Normal"/>
    <w:link w:val="NormalJustifiedKernat16ptCharChar"/>
    <w:rsid w:val="00F13125"/>
    <w:pPr>
      <w:jc w:val="both"/>
    </w:pPr>
    <w:rPr>
      <w:color w:val="auto"/>
      <w:kern w:val="0"/>
      <w:sz w:val="24"/>
      <w:szCs w:val="24"/>
      <w:lang w:val="fr-FR"/>
    </w:rPr>
  </w:style>
  <w:style w:type="character" w:customStyle="1" w:styleId="NormalJustifiedKernat16ptCharChar">
    <w:name w:val="Normal + Justified;Kern at 16 pt Char Char"/>
    <w:basedOn w:val="DefaultParagraphFont"/>
    <w:link w:val="NormalJustified"/>
    <w:rsid w:val="00F13125"/>
    <w:rPr>
      <w:sz w:val="24"/>
      <w:szCs w:val="24"/>
      <w:lang w:val="fr-FR" w:eastAsia="en-US"/>
    </w:rPr>
  </w:style>
  <w:style w:type="paragraph" w:customStyle="1" w:styleId="Normal11pt">
    <w:name w:val="Normal + 11 pt"/>
    <w:aliases w:val="Justified,First line:  0,95 cm,Line spacing:  Exactly 13 pt"/>
    <w:basedOn w:val="Normal"/>
    <w:rsid w:val="00FB034B"/>
    <w:pPr>
      <w:jc w:val="both"/>
    </w:pPr>
    <w:rPr>
      <w:lang w:val="fr-FR"/>
    </w:rPr>
  </w:style>
  <w:style w:type="character" w:customStyle="1" w:styleId="norm01">
    <w:name w:val="norm01"/>
    <w:basedOn w:val="DefaultParagraphFont"/>
    <w:rsid w:val="007871B4"/>
  </w:style>
  <w:style w:type="character" w:customStyle="1" w:styleId="citationweb">
    <w:name w:val="citation web"/>
    <w:basedOn w:val="DefaultParagraphFont"/>
    <w:rsid w:val="007871B4"/>
  </w:style>
  <w:style w:type="character" w:customStyle="1" w:styleId="atn">
    <w:name w:val="atn"/>
    <w:basedOn w:val="DefaultParagraphFont"/>
    <w:rsid w:val="007871B4"/>
  </w:style>
  <w:style w:type="character" w:customStyle="1" w:styleId="hps">
    <w:name w:val="hps"/>
    <w:basedOn w:val="DefaultParagraphFont"/>
    <w:rsid w:val="009F2A8D"/>
  </w:style>
  <w:style w:type="character" w:customStyle="1" w:styleId="longtext">
    <w:name w:val="long_text"/>
    <w:basedOn w:val="DefaultParagraphFont"/>
    <w:rsid w:val="0086482C"/>
  </w:style>
  <w:style w:type="character" w:customStyle="1" w:styleId="mw-headline">
    <w:name w:val="mw-headline"/>
    <w:basedOn w:val="DefaultParagraphFont"/>
    <w:rsid w:val="008003B1"/>
  </w:style>
  <w:style w:type="character" w:customStyle="1" w:styleId="printonly">
    <w:name w:val="printonly"/>
    <w:basedOn w:val="DefaultParagraphFont"/>
    <w:rsid w:val="00232BC3"/>
  </w:style>
  <w:style w:type="character" w:customStyle="1" w:styleId="apple-style-span">
    <w:name w:val="apple-style-span"/>
    <w:basedOn w:val="DefaultParagraphFont"/>
    <w:rsid w:val="00BB2983"/>
  </w:style>
  <w:style w:type="character" w:customStyle="1" w:styleId="A1">
    <w:name w:val="A1"/>
    <w:rsid w:val="0069372F"/>
    <w:rPr>
      <w:rFonts w:cs="Californian FB"/>
      <w:color w:val="000000"/>
      <w:sz w:val="22"/>
      <w:szCs w:val="22"/>
    </w:rPr>
  </w:style>
  <w:style w:type="paragraph" w:customStyle="1" w:styleId="Pa1">
    <w:name w:val="Pa1"/>
    <w:basedOn w:val="Default"/>
    <w:next w:val="Default"/>
    <w:rsid w:val="0069372F"/>
    <w:pPr>
      <w:spacing w:line="241" w:lineRule="atLeast"/>
    </w:pPr>
    <w:rPr>
      <w:rFonts w:ascii="Garamond" w:hAnsi="Garamond"/>
      <w:color w:val="auto"/>
      <w:lang w:val="fr-FR" w:eastAsia="fr-FR"/>
    </w:rPr>
  </w:style>
  <w:style w:type="character" w:customStyle="1" w:styleId="unicode">
    <w:name w:val="unicode"/>
    <w:basedOn w:val="DefaultParagraphFont"/>
    <w:rsid w:val="00DA1866"/>
  </w:style>
  <w:style w:type="character" w:customStyle="1" w:styleId="apple-converted-space">
    <w:name w:val="apple-converted-space"/>
    <w:basedOn w:val="DefaultParagraphFont"/>
    <w:rsid w:val="00657F3B"/>
  </w:style>
  <w:style w:type="character" w:customStyle="1" w:styleId="focusparagraph">
    <w:name w:val="focusparagraph"/>
    <w:basedOn w:val="DefaultParagraphFont"/>
    <w:rsid w:val="00657F3B"/>
  </w:style>
  <w:style w:type="character" w:customStyle="1" w:styleId="A4">
    <w:name w:val="A4"/>
    <w:rsid w:val="00525FCB"/>
    <w:rPr>
      <w:rFonts w:cs="Californian FB"/>
      <w:color w:val="000000"/>
      <w:sz w:val="12"/>
      <w:szCs w:val="12"/>
    </w:rPr>
  </w:style>
  <w:style w:type="paragraph" w:customStyle="1" w:styleId="Footnote">
    <w:name w:val="Footnote"/>
    <w:basedOn w:val="Normal"/>
    <w:rsid w:val="001C6FEE"/>
    <w:pPr>
      <w:suppressLineNumbers/>
      <w:spacing w:after="200" w:line="276" w:lineRule="auto"/>
      <w:ind w:left="283" w:hanging="283"/>
    </w:pPr>
    <w:rPr>
      <w:rFonts w:ascii="Cambria" w:hAnsi="Cambria"/>
      <w:color w:val="auto"/>
      <w:kern w:val="0"/>
      <w:lang w:eastAsia="zh-CN" w:bidi="hi-IN"/>
    </w:rPr>
  </w:style>
  <w:style w:type="paragraph" w:styleId="ListParagraph">
    <w:name w:val="List Paragraph"/>
    <w:basedOn w:val="Normal"/>
    <w:qFormat/>
    <w:rsid w:val="008E7B6F"/>
    <w:pPr>
      <w:spacing w:after="200"/>
      <w:ind w:left="720"/>
      <w:contextualSpacing/>
      <w:jc w:val="both"/>
    </w:pPr>
    <w:rPr>
      <w:rFonts w:ascii="Book Antiqua" w:hAnsi="Book Antiqua"/>
      <w:color w:val="auto"/>
      <w:kern w:val="0"/>
      <w:sz w:val="26"/>
      <w:szCs w:val="22"/>
      <w:lang w:eastAsia="zh-CN" w:bidi="hi-IN"/>
    </w:rPr>
  </w:style>
  <w:style w:type="character" w:customStyle="1" w:styleId="FooterChar">
    <w:name w:val="Footer Char"/>
    <w:basedOn w:val="DefaultParagraphFont"/>
    <w:semiHidden/>
    <w:locked/>
    <w:rsid w:val="00D908F7"/>
    <w:rPr>
      <w:rFonts w:cs="Times New Roman"/>
      <w:sz w:val="24"/>
      <w:szCs w:val="24"/>
    </w:rPr>
  </w:style>
  <w:style w:type="character" w:customStyle="1" w:styleId="FootnoteCharacters">
    <w:name w:val="Footnote Characters"/>
    <w:rsid w:val="00D470BC"/>
    <w:rPr>
      <w:rFonts w:cs="Times New Roman"/>
      <w:vertAlign w:val="superscript"/>
    </w:rPr>
  </w:style>
  <w:style w:type="character" w:customStyle="1" w:styleId="FootnoteReference1">
    <w:name w:val="Footnote Reference1"/>
    <w:rsid w:val="00360B46"/>
    <w:rPr>
      <w:vertAlign w:val="superscript"/>
    </w:rPr>
  </w:style>
  <w:style w:type="character" w:customStyle="1" w:styleId="Caractresdenotedebasdepage">
    <w:name w:val="Caractères de note de bas de page"/>
    <w:rsid w:val="00360B46"/>
  </w:style>
  <w:style w:type="paragraph" w:customStyle="1" w:styleId="FootnoteText1">
    <w:name w:val="Footnote Text1"/>
    <w:basedOn w:val="Normal"/>
    <w:rsid w:val="00360B46"/>
    <w:pPr>
      <w:suppressAutoHyphens/>
      <w:jc w:val="both"/>
    </w:pPr>
    <w:rPr>
      <w:rFonts w:eastAsia="SimSun" w:cs="Calibri"/>
      <w:color w:val="auto"/>
      <w:kern w:val="1"/>
      <w:lang w:val="fr-CA" w:eastAsia="ar-SA"/>
    </w:rPr>
  </w:style>
  <w:style w:type="paragraph" w:styleId="BodyText2">
    <w:name w:val="Body Text 2"/>
    <w:basedOn w:val="Normal"/>
    <w:link w:val="BodyText2Char"/>
    <w:rsid w:val="00B44D2F"/>
    <w:pPr>
      <w:spacing w:after="120" w:line="480" w:lineRule="auto"/>
    </w:pPr>
  </w:style>
  <w:style w:type="character" w:customStyle="1" w:styleId="BodyText2Char">
    <w:name w:val="Body Text 2 Char"/>
    <w:basedOn w:val="DefaultParagraphFont"/>
    <w:link w:val="BodyText2"/>
    <w:rsid w:val="00B44D2F"/>
    <w:rPr>
      <w:color w:val="000000"/>
      <w:kern w:val="28"/>
    </w:rPr>
  </w:style>
  <w:style w:type="character" w:customStyle="1" w:styleId="st">
    <w:name w:val="st"/>
    <w:basedOn w:val="DefaultParagraphFont"/>
    <w:rsid w:val="00B00A29"/>
  </w:style>
  <w:style w:type="paragraph" w:styleId="TOCHeading">
    <w:name w:val="TOC Heading"/>
    <w:basedOn w:val="Heading1"/>
    <w:next w:val="Normal"/>
    <w:uiPriority w:val="39"/>
    <w:unhideWhenUsed/>
    <w:qFormat/>
    <w:rsid w:val="002A31BD"/>
    <w:pPr>
      <w:keepNext/>
      <w:keepLines/>
      <w:contextualSpacing w:val="0"/>
      <w:outlineLvl w:val="9"/>
    </w:pPr>
    <w:rPr>
      <w:rFonts w:asciiTheme="majorHAnsi" w:eastAsiaTheme="majorEastAsia" w:hAnsiTheme="majorHAnsi" w:cstheme="majorBidi"/>
      <w:color w:val="365F91" w:themeColor="accent1" w:themeShade="BF"/>
      <w:lang w:eastAsia="ja-JP" w:bidi="ar-SA"/>
    </w:rPr>
  </w:style>
</w:styles>
</file>

<file path=word/webSettings.xml><?xml version="1.0" encoding="utf-8"?>
<w:webSettings xmlns:r="http://schemas.openxmlformats.org/officeDocument/2006/relationships" xmlns:w="http://schemas.openxmlformats.org/wordprocessingml/2006/main">
  <w:divs>
    <w:div w:id="880244538">
      <w:bodyDiv w:val="1"/>
      <w:marLeft w:val="0"/>
      <w:marRight w:val="0"/>
      <w:marTop w:val="0"/>
      <w:marBottom w:val="0"/>
      <w:divBdr>
        <w:top w:val="none" w:sz="0" w:space="0" w:color="auto"/>
        <w:left w:val="none" w:sz="0" w:space="0" w:color="auto"/>
        <w:bottom w:val="none" w:sz="0" w:space="0" w:color="auto"/>
        <w:right w:val="none" w:sz="0" w:space="0" w:color="auto"/>
      </w:divBdr>
    </w:div>
    <w:div w:id="1038507931">
      <w:bodyDiv w:val="1"/>
      <w:marLeft w:val="0"/>
      <w:marRight w:val="0"/>
      <w:marTop w:val="0"/>
      <w:marBottom w:val="0"/>
      <w:divBdr>
        <w:top w:val="none" w:sz="0" w:space="0" w:color="auto"/>
        <w:left w:val="none" w:sz="0" w:space="0" w:color="auto"/>
        <w:bottom w:val="none" w:sz="0" w:space="0" w:color="auto"/>
        <w:right w:val="none" w:sz="0" w:space="0" w:color="auto"/>
      </w:divBdr>
    </w:div>
    <w:div w:id="1228688473">
      <w:bodyDiv w:val="1"/>
      <w:marLeft w:val="0"/>
      <w:marRight w:val="0"/>
      <w:marTop w:val="0"/>
      <w:marBottom w:val="0"/>
      <w:divBdr>
        <w:top w:val="none" w:sz="0" w:space="0" w:color="auto"/>
        <w:left w:val="none" w:sz="0" w:space="0" w:color="auto"/>
        <w:bottom w:val="none" w:sz="0" w:space="0" w:color="auto"/>
        <w:right w:val="none" w:sz="0" w:space="0" w:color="auto"/>
      </w:divBdr>
    </w:div>
    <w:div w:id="1362628925">
      <w:bodyDiv w:val="1"/>
      <w:marLeft w:val="0"/>
      <w:marRight w:val="0"/>
      <w:marTop w:val="0"/>
      <w:marBottom w:val="0"/>
      <w:divBdr>
        <w:top w:val="none" w:sz="0" w:space="0" w:color="auto"/>
        <w:left w:val="none" w:sz="0" w:space="0" w:color="auto"/>
        <w:bottom w:val="none" w:sz="0" w:space="0" w:color="auto"/>
        <w:right w:val="none" w:sz="0" w:space="0" w:color="auto"/>
      </w:divBdr>
    </w:div>
    <w:div w:id="1821575679">
      <w:bodyDiv w:val="1"/>
      <w:marLeft w:val="0"/>
      <w:marRight w:val="0"/>
      <w:marTop w:val="0"/>
      <w:marBottom w:val="0"/>
      <w:divBdr>
        <w:top w:val="none" w:sz="0" w:space="0" w:color="auto"/>
        <w:left w:val="none" w:sz="0" w:space="0" w:color="auto"/>
        <w:bottom w:val="none" w:sz="0" w:space="0" w:color="auto"/>
        <w:right w:val="none" w:sz="0" w:space="0" w:color="auto"/>
      </w:divBdr>
    </w:div>
    <w:div w:id="206328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rsd.be"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eretmarine.com/" TargetMode="External"/><Relationship Id="rId3" Type="http://schemas.openxmlformats.org/officeDocument/2006/relationships/hyperlink" Target="http://www.bruxelles2.eu/" TargetMode="External"/><Relationship Id="rId7" Type="http://schemas.openxmlformats.org/officeDocument/2006/relationships/hyperlink" Target="http://www.rusi.org/" TargetMode="External"/><Relationship Id="rId2" Type="http://schemas.openxmlformats.org/officeDocument/2006/relationships/hyperlink" Target="http://www.sgdn.gouv.fr/site_article115.html" TargetMode="External"/><Relationship Id="rId1" Type="http://schemas.openxmlformats.org/officeDocument/2006/relationships/hyperlink" Target="http://www.vie-publique.fr/" TargetMode="External"/><Relationship Id="rId6" Type="http://schemas.openxmlformats.org/officeDocument/2006/relationships/hyperlink" Target="http://www.lepoint.fr/" TargetMode="External"/><Relationship Id="rId5" Type="http://schemas.openxmlformats.org/officeDocument/2006/relationships/hyperlink" Target="http://www.lepoint.fr/" TargetMode="External"/><Relationship Id="rId10" Type="http://schemas.openxmlformats.org/officeDocument/2006/relationships/hyperlink" Target="http://www.gouvernement.fr/" TargetMode="External"/><Relationship Id="rId4" Type="http://schemas.openxmlformats.org/officeDocument/2006/relationships/hyperlink" Target="http://www.latribune.fr/" TargetMode="External"/><Relationship Id="rId9" Type="http://schemas.openxmlformats.org/officeDocument/2006/relationships/hyperlink" Target="http://www.elysee.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1F86E-F745-4AF4-812E-824628313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18108</Words>
  <Characters>99594</Characters>
  <Application>Microsoft Office Word</Application>
  <DocSecurity>0</DocSecurity>
  <Lines>829</Lines>
  <Paragraphs>234</Paragraphs>
  <ScaleCrop>false</ScaleCrop>
  <HeadingPairs>
    <vt:vector size="2" baseType="variant">
      <vt:variant>
        <vt:lpstr>Title</vt:lpstr>
      </vt:variant>
      <vt:variant>
        <vt:i4>1</vt:i4>
      </vt:variant>
    </vt:vector>
  </HeadingPairs>
  <TitlesOfParts>
    <vt:vector size="1" baseType="lpstr">
      <vt:lpstr/>
    </vt:vector>
  </TitlesOfParts>
  <Company>Belgian Defense</Company>
  <LinksUpToDate>false</LinksUpToDate>
  <CharactersWithSpaces>117468</CharactersWithSpaces>
  <SharedDoc>false</SharedDoc>
  <HLinks>
    <vt:vector size="348" baseType="variant">
      <vt:variant>
        <vt:i4>2162733</vt:i4>
      </vt:variant>
      <vt:variant>
        <vt:i4>168</vt:i4>
      </vt:variant>
      <vt:variant>
        <vt:i4>0</vt:i4>
      </vt:variant>
      <vt:variant>
        <vt:i4>5</vt:i4>
      </vt:variant>
      <vt:variant>
        <vt:lpwstr>http://csis.org/files/publication/110425_Iran_Ballistic_Missiles_wilner.pdf</vt:lpwstr>
      </vt:variant>
      <vt:variant>
        <vt:lpwstr/>
      </vt:variant>
      <vt:variant>
        <vt:i4>4849712</vt:i4>
      </vt:variant>
      <vt:variant>
        <vt:i4>165</vt:i4>
      </vt:variant>
      <vt:variant>
        <vt:i4>0</vt:i4>
      </vt:variant>
      <vt:variant>
        <vt:i4>5</vt:i4>
      </vt:variant>
      <vt:variant>
        <vt:lpwstr>http://thf_media.s3.amazonaws.com/2011/pdf/sr0089.pdf</vt:lpwstr>
      </vt:variant>
      <vt:variant>
        <vt:lpwstr/>
      </vt:variant>
      <vt:variant>
        <vt:i4>983088</vt:i4>
      </vt:variant>
      <vt:variant>
        <vt:i4>162</vt:i4>
      </vt:variant>
      <vt:variant>
        <vt:i4>0</vt:i4>
      </vt:variant>
      <vt:variant>
        <vt:i4>5</vt:i4>
      </vt:variant>
      <vt:variant>
        <vt:lpwstr>http://www.navy.mil/search/display.asp?story_id=59506</vt:lpwstr>
      </vt:variant>
      <vt:variant>
        <vt:lpwstr/>
      </vt:variant>
      <vt:variant>
        <vt:i4>4718685</vt:i4>
      </vt:variant>
      <vt:variant>
        <vt:i4>159</vt:i4>
      </vt:variant>
      <vt:variant>
        <vt:i4>0</vt:i4>
      </vt:variant>
      <vt:variant>
        <vt:i4>5</vt:i4>
      </vt:variant>
      <vt:variant>
        <vt:lpwstr>http://www.un.org/Depts/los/convention_agreements/texts/unclos/unclos_e.pdf</vt:lpwstr>
      </vt:variant>
      <vt:variant>
        <vt:lpwstr/>
      </vt:variant>
      <vt:variant>
        <vt:i4>2490401</vt:i4>
      </vt:variant>
      <vt:variant>
        <vt:i4>156</vt:i4>
      </vt:variant>
      <vt:variant>
        <vt:i4>0</vt:i4>
      </vt:variant>
      <vt:variant>
        <vt:i4>5</vt:i4>
      </vt:variant>
      <vt:variant>
        <vt:lpwstr>http://www.defensenews.com/story.php?i=3622434&amp;c=HOM&amp;s=TOP</vt:lpwstr>
      </vt:variant>
      <vt:variant>
        <vt:lpwstr/>
      </vt:variant>
      <vt:variant>
        <vt:i4>524381</vt:i4>
      </vt:variant>
      <vt:variant>
        <vt:i4>153</vt:i4>
      </vt:variant>
      <vt:variant>
        <vt:i4>0</vt:i4>
      </vt:variant>
      <vt:variant>
        <vt:i4>5</vt:i4>
      </vt:variant>
      <vt:variant>
        <vt:lpwstr>http://www.tmd.nato.int/swf/Slide 2.html</vt:lpwstr>
      </vt:variant>
      <vt:variant>
        <vt:lpwstr/>
      </vt:variant>
      <vt:variant>
        <vt:i4>458770</vt:i4>
      </vt:variant>
      <vt:variant>
        <vt:i4>150</vt:i4>
      </vt:variant>
      <vt:variant>
        <vt:i4>0</vt:i4>
      </vt:variant>
      <vt:variant>
        <vt:i4>5</vt:i4>
      </vt:variant>
      <vt:variant>
        <vt:lpwstr>http://www.tmd.nato.int/gallery.html</vt:lpwstr>
      </vt:variant>
      <vt:variant>
        <vt:lpwstr/>
      </vt:variant>
      <vt:variant>
        <vt:i4>7929964</vt:i4>
      </vt:variant>
      <vt:variant>
        <vt:i4>147</vt:i4>
      </vt:variant>
      <vt:variant>
        <vt:i4>0</vt:i4>
      </vt:variant>
      <vt:variant>
        <vt:i4>5</vt:i4>
      </vt:variant>
      <vt:variant>
        <vt:lpwstr>http://www.tmd.nato.int/going.html</vt:lpwstr>
      </vt:variant>
      <vt:variant>
        <vt:lpwstr/>
      </vt:variant>
      <vt:variant>
        <vt:i4>7536752</vt:i4>
      </vt:variant>
      <vt:variant>
        <vt:i4>144</vt:i4>
      </vt:variant>
      <vt:variant>
        <vt:i4>0</vt:i4>
      </vt:variant>
      <vt:variant>
        <vt:i4>5</vt:i4>
      </vt:variant>
      <vt:variant>
        <vt:lpwstr>http://www.tmd.nato.int/index.html</vt:lpwstr>
      </vt:variant>
      <vt:variant>
        <vt:lpwstr/>
      </vt:variant>
      <vt:variant>
        <vt:i4>4259904</vt:i4>
      </vt:variant>
      <vt:variant>
        <vt:i4>141</vt:i4>
      </vt:variant>
      <vt:variant>
        <vt:i4>0</vt:i4>
      </vt:variant>
      <vt:variant>
        <vt:i4>5</vt:i4>
      </vt:variant>
      <vt:variant>
        <vt:lpwstr>http://www.thalesgroup.com/smart-l/?pid=1568</vt:lpwstr>
      </vt:variant>
      <vt:variant>
        <vt:lpwstr/>
      </vt:variant>
      <vt:variant>
        <vt:i4>5373977</vt:i4>
      </vt:variant>
      <vt:variant>
        <vt:i4>138</vt:i4>
      </vt:variant>
      <vt:variant>
        <vt:i4>0</vt:i4>
      </vt:variant>
      <vt:variant>
        <vt:i4>5</vt:i4>
      </vt:variant>
      <vt:variant>
        <vt:lpwstr>http://www.thales-nederland.nl/nl/news/archive/2006/jan10-2006.shtml</vt:lpwstr>
      </vt:variant>
      <vt:variant>
        <vt:lpwstr/>
      </vt:variant>
      <vt:variant>
        <vt:i4>4587524</vt:i4>
      </vt:variant>
      <vt:variant>
        <vt:i4>135</vt:i4>
      </vt:variant>
      <vt:variant>
        <vt:i4>0</vt:i4>
      </vt:variant>
      <vt:variant>
        <vt:i4>5</vt:i4>
      </vt:variant>
      <vt:variant>
        <vt:lpwstr>http://www.usnwc.edu/Publications/Naval-War-College-Press/Newport-Papers/Documents/14.pdf</vt:lpwstr>
      </vt:variant>
      <vt:variant>
        <vt:lpwstr/>
      </vt:variant>
      <vt:variant>
        <vt:i4>3670138</vt:i4>
      </vt:variant>
      <vt:variant>
        <vt:i4>132</vt:i4>
      </vt:variant>
      <vt:variant>
        <vt:i4>0</vt:i4>
      </vt:variant>
      <vt:variant>
        <vt:i4>5</vt:i4>
      </vt:variant>
      <vt:variant>
        <vt:lpwstr>http://www.sldinfo.com/the-aegis-global-enterprise-crafting-a-global-defensive-capability/</vt:lpwstr>
      </vt:variant>
      <vt:variant>
        <vt:lpwstr/>
      </vt:variant>
      <vt:variant>
        <vt:i4>7733292</vt:i4>
      </vt:variant>
      <vt:variant>
        <vt:i4>129</vt:i4>
      </vt:variant>
      <vt:variant>
        <vt:i4>0</vt:i4>
      </vt:variant>
      <vt:variant>
        <vt:i4>5</vt:i4>
      </vt:variant>
      <vt:variant>
        <vt:lpwstr>http://www.inss.org.il/upload/(FILE)1188302022.pdf</vt:lpwstr>
      </vt:variant>
      <vt:variant>
        <vt:lpwstr/>
      </vt:variant>
      <vt:variant>
        <vt:i4>4849756</vt:i4>
      </vt:variant>
      <vt:variant>
        <vt:i4>126</vt:i4>
      </vt:variant>
      <vt:variant>
        <vt:i4>0</vt:i4>
      </vt:variant>
      <vt:variant>
        <vt:i4>5</vt:i4>
      </vt:variant>
      <vt:variant>
        <vt:lpwstr>http://en.rian.ru/russia/20110612/164579761.html</vt:lpwstr>
      </vt:variant>
      <vt:variant>
        <vt:lpwstr/>
      </vt:variant>
      <vt:variant>
        <vt:i4>7995426</vt:i4>
      </vt:variant>
      <vt:variant>
        <vt:i4>123</vt:i4>
      </vt:variant>
      <vt:variant>
        <vt:i4>0</vt:i4>
      </vt:variant>
      <vt:variant>
        <vt:i4>5</vt:i4>
      </vt:variant>
      <vt:variant>
        <vt:lpwstr>http://www.fas.org/sgp/crs/weapons/RL33745.pdf</vt:lpwstr>
      </vt:variant>
      <vt:variant>
        <vt:lpwstr/>
      </vt:variant>
      <vt:variant>
        <vt:i4>107</vt:i4>
      </vt:variant>
      <vt:variant>
        <vt:i4>120</vt:i4>
      </vt:variant>
      <vt:variant>
        <vt:i4>0</vt:i4>
      </vt:variant>
      <vt:variant>
        <vt:i4>5</vt:i4>
      </vt:variant>
      <vt:variant>
        <vt:lpwstr>http://www.ausaredstone.org/files/2011/LTG Patrick OReilly Speaker Briefing_AUSA Missiles Conferen.pdf</vt:lpwstr>
      </vt:variant>
      <vt:variant>
        <vt:lpwstr/>
      </vt:variant>
      <vt:variant>
        <vt:i4>1900567</vt:i4>
      </vt:variant>
      <vt:variant>
        <vt:i4>117</vt:i4>
      </vt:variant>
      <vt:variant>
        <vt:i4>0</vt:i4>
      </vt:variant>
      <vt:variant>
        <vt:i4>5</vt:i4>
      </vt:variant>
      <vt:variant>
        <vt:lpwstr>http://www.naval-technology.com/projects/f100</vt:lpwstr>
      </vt:variant>
      <vt:variant>
        <vt:lpwstr/>
      </vt:variant>
      <vt:variant>
        <vt:i4>7536684</vt:i4>
      </vt:variant>
      <vt:variant>
        <vt:i4>114</vt:i4>
      </vt:variant>
      <vt:variant>
        <vt:i4>0</vt:i4>
      </vt:variant>
      <vt:variant>
        <vt:i4>5</vt:i4>
      </vt:variant>
      <vt:variant>
        <vt:lpwstr>http://www.naval-technology.com/projects/ivar-huitfeldt-class/</vt:lpwstr>
      </vt:variant>
      <vt:variant>
        <vt:lpwstr/>
      </vt:variant>
      <vt:variant>
        <vt:i4>7340052</vt:i4>
      </vt:variant>
      <vt:variant>
        <vt:i4>111</vt:i4>
      </vt:variant>
      <vt:variant>
        <vt:i4>0</vt:i4>
      </vt:variant>
      <vt:variant>
        <vt:i4>5</vt:i4>
      </vt:variant>
      <vt:variant>
        <vt:lpwstr>http://www.nato.int/cps/en/natolive/opinions_78838.htm</vt:lpwstr>
      </vt:variant>
      <vt:variant>
        <vt:lpwstr/>
      </vt:variant>
      <vt:variant>
        <vt:i4>4259885</vt:i4>
      </vt:variant>
      <vt:variant>
        <vt:i4>108</vt:i4>
      </vt:variant>
      <vt:variant>
        <vt:i4>0</vt:i4>
      </vt:variant>
      <vt:variant>
        <vt:i4>5</vt:i4>
      </vt:variant>
      <vt:variant>
        <vt:lpwstr>http://www.nato.int/cps/en/natolive/news_68439.htm?selectedLocale=en</vt:lpwstr>
      </vt:variant>
      <vt:variant>
        <vt:lpwstr/>
      </vt:variant>
      <vt:variant>
        <vt:i4>5636163</vt:i4>
      </vt:variant>
      <vt:variant>
        <vt:i4>105</vt:i4>
      </vt:variant>
      <vt:variant>
        <vt:i4>0</vt:i4>
      </vt:variant>
      <vt:variant>
        <vt:i4>5</vt:i4>
      </vt:variant>
      <vt:variant>
        <vt:lpwstr>http://www.navy.gov.au/w/images/Working_Paper_12.pdf</vt:lpwstr>
      </vt:variant>
      <vt:variant>
        <vt:lpwstr/>
      </vt:variant>
      <vt:variant>
        <vt:i4>6225972</vt:i4>
      </vt:variant>
      <vt:variant>
        <vt:i4>102</vt:i4>
      </vt:variant>
      <vt:variant>
        <vt:i4>0</vt:i4>
      </vt:variant>
      <vt:variant>
        <vt:i4>5</vt:i4>
      </vt:variant>
      <vt:variant>
        <vt:lpwstr>http://www.missilethreat.com/missilesoftheworld/id.192/missile_detail.asp</vt:lpwstr>
      </vt:variant>
      <vt:variant>
        <vt:lpwstr/>
      </vt:variant>
      <vt:variant>
        <vt:i4>917578</vt:i4>
      </vt:variant>
      <vt:variant>
        <vt:i4>99</vt:i4>
      </vt:variant>
      <vt:variant>
        <vt:i4>0</vt:i4>
      </vt:variant>
      <vt:variant>
        <vt:i4>5</vt:i4>
      </vt:variant>
      <vt:variant>
        <vt:lpwstr>http://www.missilethreat.com/overview/pageID.155/default.asp</vt:lpwstr>
      </vt:variant>
      <vt:variant>
        <vt:lpwstr/>
      </vt:variant>
      <vt:variant>
        <vt:i4>0</vt:i4>
      </vt:variant>
      <vt:variant>
        <vt:i4>96</vt:i4>
      </vt:variant>
      <vt:variant>
        <vt:i4>0</vt:i4>
      </vt:variant>
      <vt:variant>
        <vt:i4>5</vt:i4>
      </vt:variant>
      <vt:variant>
        <vt:lpwstr>http://www.ndia.org/Resources/OnlineProceedings/Documents/8100/AegisBMD-StatusIntergrationandInteroperability.pdf</vt:lpwstr>
      </vt:variant>
      <vt:variant>
        <vt:lpwstr/>
      </vt:variant>
      <vt:variant>
        <vt:i4>2162751</vt:i4>
      </vt:variant>
      <vt:variant>
        <vt:i4>93</vt:i4>
      </vt:variant>
      <vt:variant>
        <vt:i4>0</vt:i4>
      </vt:variant>
      <vt:variant>
        <vt:i4>5</vt:i4>
      </vt:variant>
      <vt:variant>
        <vt:lpwstr>http://www.defensie.nl/_system/handlers/generaldownloadHandler.ashx?filename=/media/Brief%20minDef%20-%20beleidsbrief%20Defensie_tcm46-180708.pdf</vt:lpwstr>
      </vt:variant>
      <vt:variant>
        <vt:lpwstr/>
      </vt:variant>
      <vt:variant>
        <vt:i4>4390967</vt:i4>
      </vt:variant>
      <vt:variant>
        <vt:i4>90</vt:i4>
      </vt:variant>
      <vt:variant>
        <vt:i4>0</vt:i4>
      </vt:variant>
      <vt:variant>
        <vt:i4>5</vt:i4>
      </vt:variant>
      <vt:variant>
        <vt:lpwstr>http://www.mbda-systems.com/mediagallery/files/ASTER-family_background.pdf</vt:lpwstr>
      </vt:variant>
      <vt:variant>
        <vt:lpwstr/>
      </vt:variant>
      <vt:variant>
        <vt:i4>5177356</vt:i4>
      </vt:variant>
      <vt:variant>
        <vt:i4>87</vt:i4>
      </vt:variant>
      <vt:variant>
        <vt:i4>0</vt:i4>
      </vt:variant>
      <vt:variant>
        <vt:i4>5</vt:i4>
      </vt:variant>
      <vt:variant>
        <vt:lpwstr>http://www.rijksoverheid.nl/bestanden/documenten-en-publicaties/kamerstukken/2005/10/14/de-marinestudie-2005/kamerbrief-marinestudie.pdf</vt:lpwstr>
      </vt:variant>
      <vt:variant>
        <vt:lpwstr/>
      </vt:variant>
      <vt:variant>
        <vt:i4>5505088</vt:i4>
      </vt:variant>
      <vt:variant>
        <vt:i4>84</vt:i4>
      </vt:variant>
      <vt:variant>
        <vt:i4>0</vt:i4>
      </vt:variant>
      <vt:variant>
        <vt:i4>5</vt:i4>
      </vt:variant>
      <vt:variant>
        <vt:lpwstr>http://politiken.dk/newsinenglish/ECE1111013/dk-ready-for-missile-defence</vt:lpwstr>
      </vt:variant>
      <vt:variant>
        <vt:lpwstr/>
      </vt:variant>
      <vt:variant>
        <vt:i4>1376291</vt:i4>
      </vt:variant>
      <vt:variant>
        <vt:i4>81</vt:i4>
      </vt:variant>
      <vt:variant>
        <vt:i4>0</vt:i4>
      </vt:variant>
      <vt:variant>
        <vt:i4>5</vt:i4>
      </vt:variant>
      <vt:variant>
        <vt:lpwstr>http://csis.org/files/publication/Himes_Gulf_Analysis_Iranian_Navy_(FINAL).pdf</vt:lpwstr>
      </vt:variant>
      <vt:variant>
        <vt:lpwstr/>
      </vt:variant>
      <vt:variant>
        <vt:i4>524319</vt:i4>
      </vt:variant>
      <vt:variant>
        <vt:i4>78</vt:i4>
      </vt:variant>
      <vt:variant>
        <vt:i4>0</vt:i4>
      </vt:variant>
      <vt:variant>
        <vt:i4>5</vt:i4>
      </vt:variant>
      <vt:variant>
        <vt:lpwstr>http://www.washingtoninstitute.org/pubPDFs/PolicyFocus87.pdf</vt:lpwstr>
      </vt:variant>
      <vt:variant>
        <vt:lpwstr/>
      </vt:variant>
      <vt:variant>
        <vt:i4>7929892</vt:i4>
      </vt:variant>
      <vt:variant>
        <vt:i4>75</vt:i4>
      </vt:variant>
      <vt:variant>
        <vt:i4>0</vt:i4>
      </vt:variant>
      <vt:variant>
        <vt:i4>5</vt:i4>
      </vt:variant>
      <vt:variant>
        <vt:lpwstr>http://www.fas.org/sgp/crs/weapons/RL34051.pdf</vt:lpwstr>
      </vt:variant>
      <vt:variant>
        <vt:lpwstr/>
      </vt:variant>
      <vt:variant>
        <vt:i4>3211384</vt:i4>
      </vt:variant>
      <vt:variant>
        <vt:i4>72</vt:i4>
      </vt:variant>
      <vt:variant>
        <vt:i4>0</vt:i4>
      </vt:variant>
      <vt:variant>
        <vt:i4>5</vt:i4>
      </vt:variant>
      <vt:variant>
        <vt:lpwstr>http://www.fas.org/sgp/crs/nuke/RS22758.pdf</vt:lpwstr>
      </vt:variant>
      <vt:variant>
        <vt:lpwstr/>
      </vt:variant>
      <vt:variant>
        <vt:i4>6225922</vt:i4>
      </vt:variant>
      <vt:variant>
        <vt:i4>69</vt:i4>
      </vt:variant>
      <vt:variant>
        <vt:i4>0</vt:i4>
      </vt:variant>
      <vt:variant>
        <vt:i4>5</vt:i4>
      </vt:variant>
      <vt:variant>
        <vt:lpwstr>http://www.epubs.utah.edu/index.php/HJP/article/viewFile/309/253</vt:lpwstr>
      </vt:variant>
      <vt:variant>
        <vt:lpwstr/>
      </vt:variant>
      <vt:variant>
        <vt:i4>5242880</vt:i4>
      </vt:variant>
      <vt:variant>
        <vt:i4>66</vt:i4>
      </vt:variant>
      <vt:variant>
        <vt:i4>0</vt:i4>
      </vt:variant>
      <vt:variant>
        <vt:i4>5</vt:i4>
      </vt:variant>
      <vt:variant>
        <vt:lpwstr>http://www.globalsecurity.org/space/systems/endo.htm</vt:lpwstr>
      </vt:variant>
      <vt:variant>
        <vt:lpwstr/>
      </vt:variant>
      <vt:variant>
        <vt:i4>5308486</vt:i4>
      </vt:variant>
      <vt:variant>
        <vt:i4>63</vt:i4>
      </vt:variant>
      <vt:variant>
        <vt:i4>0</vt:i4>
      </vt:variant>
      <vt:variant>
        <vt:i4>5</vt:i4>
      </vt:variant>
      <vt:variant>
        <vt:lpwstr>http://www.militaryphotos.net/forums/showthread.php?100028-Dutch-Thales-upgrades-Smart-L</vt:lpwstr>
      </vt:variant>
      <vt:variant>
        <vt:lpwstr/>
      </vt:variant>
      <vt:variant>
        <vt:i4>5111824</vt:i4>
      </vt:variant>
      <vt:variant>
        <vt:i4>60</vt:i4>
      </vt:variant>
      <vt:variant>
        <vt:i4>0</vt:i4>
      </vt:variant>
      <vt:variant>
        <vt:i4>5</vt:i4>
      </vt:variant>
      <vt:variant>
        <vt:lpwstr>http://www.nytimes.com/2009/09/20/opinion/20gates.html?pagewanted=all</vt:lpwstr>
      </vt:variant>
      <vt:variant>
        <vt:lpwstr/>
      </vt:variant>
      <vt:variant>
        <vt:i4>5308439</vt:i4>
      </vt:variant>
      <vt:variant>
        <vt:i4>57</vt:i4>
      </vt:variant>
      <vt:variant>
        <vt:i4>0</vt:i4>
      </vt:variant>
      <vt:variant>
        <vt:i4>5</vt:i4>
      </vt:variant>
      <vt:variant>
        <vt:lpwstr>http://www.fas.org/man/dod-101/sys/smart/bgm-109.htm</vt:lpwstr>
      </vt:variant>
      <vt:variant>
        <vt:lpwstr/>
      </vt:variant>
      <vt:variant>
        <vt:i4>524314</vt:i4>
      </vt:variant>
      <vt:variant>
        <vt:i4>54</vt:i4>
      </vt:variant>
      <vt:variant>
        <vt:i4>0</vt:i4>
      </vt:variant>
      <vt:variant>
        <vt:i4>5</vt:i4>
      </vt:variant>
      <vt:variant>
        <vt:lpwstr>http://www.fas.org/nuke/intro/missile/basics.htm</vt:lpwstr>
      </vt:variant>
      <vt:variant>
        <vt:lpwstr/>
      </vt:variant>
      <vt:variant>
        <vt:i4>5439489</vt:i4>
      </vt:variant>
      <vt:variant>
        <vt:i4>51</vt:i4>
      </vt:variant>
      <vt:variant>
        <vt:i4>0</vt:i4>
      </vt:variant>
      <vt:variant>
        <vt:i4>5</vt:i4>
      </vt:variant>
      <vt:variant>
        <vt:lpwstr>http://www.rusi.org/downloads/assets/Keith_Englander_Presentation.pdf</vt:lpwstr>
      </vt:variant>
      <vt:variant>
        <vt:lpwstr/>
      </vt:variant>
      <vt:variant>
        <vt:i4>7143459</vt:i4>
      </vt:variant>
      <vt:variant>
        <vt:i4>48</vt:i4>
      </vt:variant>
      <vt:variant>
        <vt:i4>0</vt:i4>
      </vt:variant>
      <vt:variant>
        <vt:i4>5</vt:i4>
      </vt:variant>
      <vt:variant>
        <vt:lpwstr>http://iipdigital.usembassy.gov/st/english/texttrans/2011/05/20110503135807su0.7052075.html</vt:lpwstr>
      </vt:variant>
      <vt:variant>
        <vt:lpwstr/>
      </vt:variant>
      <vt:variant>
        <vt:i4>5439511</vt:i4>
      </vt:variant>
      <vt:variant>
        <vt:i4>45</vt:i4>
      </vt:variant>
      <vt:variant>
        <vt:i4>0</vt:i4>
      </vt:variant>
      <vt:variant>
        <vt:i4>5</vt:i4>
      </vt:variant>
      <vt:variant>
        <vt:lpwstr>http://www.defencetalk.com/production-begins-on-the-first-class-125-frigate-35426</vt:lpwstr>
      </vt:variant>
      <vt:variant>
        <vt:lpwstr/>
      </vt:variant>
      <vt:variant>
        <vt:i4>7208995</vt:i4>
      </vt:variant>
      <vt:variant>
        <vt:i4>42</vt:i4>
      </vt:variant>
      <vt:variant>
        <vt:i4>0</vt:i4>
      </vt:variant>
      <vt:variant>
        <vt:i4>5</vt:i4>
      </vt:variant>
      <vt:variant>
        <vt:lpwstr>http://www.defenseindustrydaily.com/Land-Based-SM-3s-for-Israel-04986/</vt:lpwstr>
      </vt:variant>
      <vt:variant>
        <vt:lpwstr/>
      </vt:variant>
      <vt:variant>
        <vt:i4>3342452</vt:i4>
      </vt:variant>
      <vt:variant>
        <vt:i4>39</vt:i4>
      </vt:variant>
      <vt:variant>
        <vt:i4>0</vt:i4>
      </vt:variant>
      <vt:variant>
        <vt:i4>5</vt:i4>
      </vt:variant>
      <vt:variant>
        <vt:lpwstr>http://www.defenseindustrydaily.com/DDG-Type-45-Britains-Shrinking-Air-Defense-Fleet-04941</vt:lpwstr>
      </vt:variant>
      <vt:variant>
        <vt:lpwstr/>
      </vt:variant>
      <vt:variant>
        <vt:i4>3932258</vt:i4>
      </vt:variant>
      <vt:variant>
        <vt:i4>36</vt:i4>
      </vt:variant>
      <vt:variant>
        <vt:i4>0</vt:i4>
      </vt:variant>
      <vt:variant>
        <vt:i4>5</vt:i4>
      </vt:variant>
      <vt:variant>
        <vt:lpwstr>http://www.defenseindustrydaily.com/norways-new-nansen-class-frigates-capabilities-and-controversies-02329/</vt:lpwstr>
      </vt:variant>
      <vt:variant>
        <vt:lpwstr/>
      </vt:variant>
      <vt:variant>
        <vt:i4>1572950</vt:i4>
      </vt:variant>
      <vt:variant>
        <vt:i4>33</vt:i4>
      </vt:variant>
      <vt:variant>
        <vt:i4>0</vt:i4>
      </vt:variant>
      <vt:variant>
        <vt:i4>5</vt:i4>
      </vt:variant>
      <vt:variant>
        <vt:lpwstr>http://www.armscontrol.org/factsheets/Phasedadaptiveapproach</vt:lpwstr>
      </vt:variant>
      <vt:variant>
        <vt:lpwstr/>
      </vt:variant>
      <vt:variant>
        <vt:i4>5898241</vt:i4>
      </vt:variant>
      <vt:variant>
        <vt:i4>30</vt:i4>
      </vt:variant>
      <vt:variant>
        <vt:i4>0</vt:i4>
      </vt:variant>
      <vt:variant>
        <vt:i4>5</vt:i4>
      </vt:variant>
      <vt:variant>
        <vt:lpwstr>http://www.fr.rian.ru/discussion/20110830/190769637.html</vt:lpwstr>
      </vt:variant>
      <vt:variant>
        <vt:lpwstr/>
      </vt:variant>
      <vt:variant>
        <vt:i4>5177471</vt:i4>
      </vt:variant>
      <vt:variant>
        <vt:i4>27</vt:i4>
      </vt:variant>
      <vt:variant>
        <vt:i4>0</vt:i4>
      </vt:variant>
      <vt:variant>
        <vt:i4>5</vt:i4>
      </vt:variant>
      <vt:variant>
        <vt:lpwstr>http://topics.nytimes.com/top/news/international/countriesandterritories/iran/nuclear_program/index.html?inline=nyt-classifier</vt:lpwstr>
      </vt:variant>
      <vt:variant>
        <vt:lpwstr/>
      </vt:variant>
      <vt:variant>
        <vt:i4>983088</vt:i4>
      </vt:variant>
      <vt:variant>
        <vt:i4>24</vt:i4>
      </vt:variant>
      <vt:variant>
        <vt:i4>0</vt:i4>
      </vt:variant>
      <vt:variant>
        <vt:i4>5</vt:i4>
      </vt:variant>
      <vt:variant>
        <vt:lpwstr>http://www.tradearabia.com/news/INTNEWS_181961.html</vt:lpwstr>
      </vt:variant>
      <vt:variant>
        <vt:lpwstr/>
      </vt:variant>
      <vt:variant>
        <vt:i4>2228261</vt:i4>
      </vt:variant>
      <vt:variant>
        <vt:i4>21</vt:i4>
      </vt:variant>
      <vt:variant>
        <vt:i4>0</vt:i4>
      </vt:variant>
      <vt:variant>
        <vt:i4>5</vt:i4>
      </vt:variant>
      <vt:variant>
        <vt:lpwstr>http://www.whitehouse.gov/</vt:lpwstr>
      </vt:variant>
      <vt:variant>
        <vt:lpwstr/>
      </vt:variant>
      <vt:variant>
        <vt:i4>2752544</vt:i4>
      </vt:variant>
      <vt:variant>
        <vt:i4>18</vt:i4>
      </vt:variant>
      <vt:variant>
        <vt:i4>0</vt:i4>
      </vt:variant>
      <vt:variant>
        <vt:i4>5</vt:i4>
      </vt:variant>
      <vt:variant>
        <vt:lpwstr>http://www.nti.org/e_research/profiles_pdfs/Iran/iran_nuclear_sites.pdf. Accessed 29 April 2011</vt:lpwstr>
      </vt:variant>
      <vt:variant>
        <vt:lpwstr/>
      </vt:variant>
      <vt:variant>
        <vt:i4>2687083</vt:i4>
      </vt:variant>
      <vt:variant>
        <vt:i4>15</vt:i4>
      </vt:variant>
      <vt:variant>
        <vt:i4>0</vt:i4>
      </vt:variant>
      <vt:variant>
        <vt:i4>5</vt:i4>
      </vt:variant>
      <vt:variant>
        <vt:lpwstr>http://www.eia.doe.gov/cabs/Iran/Full.html. Accessed 12 April 2011</vt:lpwstr>
      </vt:variant>
      <vt:variant>
        <vt:lpwstr/>
      </vt:variant>
      <vt:variant>
        <vt:i4>4390925</vt:i4>
      </vt:variant>
      <vt:variant>
        <vt:i4>12</vt:i4>
      </vt:variant>
      <vt:variant>
        <vt:i4>0</vt:i4>
      </vt:variant>
      <vt:variant>
        <vt:i4>5</vt:i4>
      </vt:variant>
      <vt:variant>
        <vt:lpwstr>http://www.publications.parliament.uk/pa/cm200304/cmselect/cmfaff/80/8006.htm. Accessed 12 April 2011</vt:lpwstr>
      </vt:variant>
      <vt:variant>
        <vt:lpwstr/>
      </vt:variant>
      <vt:variant>
        <vt:i4>1507401</vt:i4>
      </vt:variant>
      <vt:variant>
        <vt:i4>9</vt:i4>
      </vt:variant>
      <vt:variant>
        <vt:i4>0</vt:i4>
      </vt:variant>
      <vt:variant>
        <vt:i4>5</vt:i4>
      </vt:variant>
      <vt:variant>
        <vt:lpwstr>http://www.publications.parliament.uk/pa/cm200304/cmselect/cmfaff/80/8006.htm</vt:lpwstr>
      </vt:variant>
      <vt:variant>
        <vt:lpwstr/>
      </vt:variant>
      <vt:variant>
        <vt:i4>196733</vt:i4>
      </vt:variant>
      <vt:variant>
        <vt:i4>6</vt:i4>
      </vt:variant>
      <vt:variant>
        <vt:i4>0</vt:i4>
      </vt:variant>
      <vt:variant>
        <vt:i4>5</vt:i4>
      </vt:variant>
      <vt:variant>
        <vt:lpwstr>http://www.isisnucleariran.org/assets/pdf/Iran_Yellowcake.pdf</vt:lpwstr>
      </vt:variant>
      <vt:variant>
        <vt:lpwstr/>
      </vt:variant>
      <vt:variant>
        <vt:i4>7536694</vt:i4>
      </vt:variant>
      <vt:variant>
        <vt:i4>0</vt:i4>
      </vt:variant>
      <vt:variant>
        <vt:i4>0</vt:i4>
      </vt:variant>
      <vt:variant>
        <vt:i4>5</vt:i4>
      </vt:variant>
      <vt:variant>
        <vt:lpwstr>http://www.iranaffairs.com/.a/6a00d83420523653ef012875b3d38f970c-popup</vt:lpwstr>
      </vt:variant>
      <vt:variant>
        <vt:lpwstr/>
      </vt:variant>
      <vt:variant>
        <vt:i4>1572950</vt:i4>
      </vt:variant>
      <vt:variant>
        <vt:i4>3</vt:i4>
      </vt:variant>
      <vt:variant>
        <vt:i4>0</vt:i4>
      </vt:variant>
      <vt:variant>
        <vt:i4>5</vt:i4>
      </vt:variant>
      <vt:variant>
        <vt:lpwstr>http://www.armscontrol.org/factsheets/Phasedadaptiveapproach</vt:lpwstr>
      </vt:variant>
      <vt:variant>
        <vt:lpwstr/>
      </vt:variant>
      <vt:variant>
        <vt:i4>1114113</vt:i4>
      </vt:variant>
      <vt:variant>
        <vt:i4>0</vt:i4>
      </vt:variant>
      <vt:variant>
        <vt:i4>0</vt:i4>
      </vt:variant>
      <vt:variant>
        <vt:i4>5</vt:i4>
      </vt:variant>
      <vt:variant>
        <vt:lpwstr>http://www.lefigaro.fr/international/2011/04/06/01003-20110406ARTFIG00688-israel-poursuit-sa-guerre-secrete-contre-l-iran.php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vancoppenolle.p</dc:creator>
  <cp:lastModifiedBy>DUMOULIN</cp:lastModifiedBy>
  <cp:revision>2</cp:revision>
  <cp:lastPrinted>2013-11-19T15:21:00Z</cp:lastPrinted>
  <dcterms:created xsi:type="dcterms:W3CDTF">2013-12-26T10:27:00Z</dcterms:created>
  <dcterms:modified xsi:type="dcterms:W3CDTF">2013-12-26T10:27:00Z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-628951169</vt:i4>
  </property>
</Properties>
</file>